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76" w:type="dxa"/>
        <w:tblLayout w:type="fixed"/>
        <w:tblLook w:val="0000" w:firstRow="0" w:lastRow="0" w:firstColumn="0" w:lastColumn="0" w:noHBand="0" w:noVBand="0"/>
      </w:tblPr>
      <w:tblGrid>
        <w:gridCol w:w="3403"/>
        <w:gridCol w:w="5528"/>
      </w:tblGrid>
      <w:tr w:rsidR="00104666" w:rsidRPr="00115650" w:rsidTr="00EF128A">
        <w:trPr>
          <w:trHeight w:val="1436"/>
        </w:trPr>
        <w:tc>
          <w:tcPr>
            <w:tcW w:w="3403" w:type="dxa"/>
          </w:tcPr>
          <w:p w:rsidR="007B5620" w:rsidRPr="00115650" w:rsidRDefault="007B5620" w:rsidP="00015A9E">
            <w:pPr>
              <w:ind w:left="-108" w:right="-113"/>
              <w:jc w:val="center"/>
              <w:rPr>
                <w:b/>
                <w:sz w:val="26"/>
              </w:rPr>
            </w:pPr>
            <w:r w:rsidRPr="00115650">
              <w:rPr>
                <w:b/>
                <w:sz w:val="26"/>
              </w:rPr>
              <w:t>UỶ BAN NHÂN DÂN</w:t>
            </w:r>
          </w:p>
          <w:p w:rsidR="00104666" w:rsidRPr="00115650" w:rsidRDefault="005C4B85" w:rsidP="00015A9E">
            <w:pPr>
              <w:ind w:left="-108" w:right="-113"/>
              <w:jc w:val="center"/>
              <w:rPr>
                <w:b/>
                <w:sz w:val="26"/>
              </w:rPr>
            </w:pPr>
            <w:r w:rsidRPr="00115650">
              <w:rPr>
                <w:b/>
                <w:sz w:val="26"/>
              </w:rPr>
              <w:t xml:space="preserve"> TỈNH BẮC KẠN</w:t>
            </w:r>
          </w:p>
          <w:p w:rsidR="002C5418" w:rsidRPr="00115650" w:rsidRDefault="008C6FB3" w:rsidP="002C5418">
            <w:pPr>
              <w:spacing w:before="120"/>
              <w:ind w:left="-108" w:right="-113"/>
              <w:jc w:val="center"/>
              <w:rPr>
                <w:sz w:val="26"/>
                <w:szCs w:val="26"/>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18.3pt;margin-top:50.35pt;width:121.45pt;height:24.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BB4848" w:rsidRPr="00927C88" w:rsidRDefault="00BB4848" w:rsidP="00BB4848">
                        <w:pPr>
                          <w:jc w:val="center"/>
                        </w:pPr>
                        <w:r w:rsidRPr="00927C88">
                          <w:rPr>
                            <w:bCs/>
                            <w:sz w:val="28"/>
                            <w:szCs w:val="28"/>
                          </w:rPr>
                          <w:t>DỰ THẢO</w:t>
                        </w:r>
                        <w:r w:rsidR="00927C88">
                          <w:rPr>
                            <w:bCs/>
                            <w:sz w:val="28"/>
                            <w:szCs w:val="28"/>
                          </w:rPr>
                          <w:t xml:space="preserve"> LẦN </w:t>
                        </w:r>
                        <w:r w:rsidR="00D57C8E">
                          <w:rPr>
                            <w:bCs/>
                            <w:sz w:val="28"/>
                            <w:szCs w:val="28"/>
                          </w:rPr>
                          <w:t>5</w:t>
                        </w:r>
                      </w:p>
                    </w:txbxContent>
                  </v:textbox>
                </v:shape>
              </w:pict>
            </w:r>
          </w:p>
        </w:tc>
        <w:tc>
          <w:tcPr>
            <w:tcW w:w="5528" w:type="dxa"/>
          </w:tcPr>
          <w:p w:rsidR="00104666" w:rsidRPr="00115650" w:rsidRDefault="00104666" w:rsidP="00015A9E">
            <w:pPr>
              <w:ind w:right="-113"/>
              <w:jc w:val="center"/>
              <w:rPr>
                <w:b/>
                <w:sz w:val="26"/>
                <w:szCs w:val="26"/>
              </w:rPr>
            </w:pPr>
            <w:r w:rsidRPr="00115650">
              <w:rPr>
                <w:b/>
                <w:sz w:val="26"/>
                <w:szCs w:val="26"/>
              </w:rPr>
              <w:t>CỘNG HÒA XÃ HỘI CHỦ NGHĨA VIỆT NAM</w:t>
            </w:r>
          </w:p>
          <w:p w:rsidR="00104666" w:rsidRPr="00115650" w:rsidRDefault="00104666" w:rsidP="00015A9E">
            <w:pPr>
              <w:ind w:right="-113"/>
              <w:jc w:val="center"/>
              <w:rPr>
                <w:b/>
                <w:sz w:val="28"/>
                <w:szCs w:val="28"/>
              </w:rPr>
            </w:pPr>
            <w:r w:rsidRPr="00115650">
              <w:rPr>
                <w:b/>
                <w:sz w:val="28"/>
                <w:szCs w:val="28"/>
              </w:rPr>
              <w:t>Độc lập - Tự do - Hạnh phúc</w:t>
            </w:r>
          </w:p>
          <w:p w:rsidR="00104666" w:rsidRPr="00115650" w:rsidRDefault="008C6FB3" w:rsidP="00015A9E">
            <w:pPr>
              <w:ind w:right="-113"/>
              <w:jc w:val="center"/>
              <w:rPr>
                <w:b/>
              </w:rPr>
            </w:pPr>
            <w:r>
              <w:rPr>
                <w:noProof/>
              </w:rPr>
              <w:pict>
                <v:line id="Line 3" o:spid="_x0000_s1030" style="position:absolute;left:0;text-align:left;z-index:251656704;visibility:visible" from="51.45pt,4.2pt" to="221.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oB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"/>
              </w:pict>
            </w:r>
          </w:p>
          <w:p w:rsidR="00104666" w:rsidRPr="00115650" w:rsidRDefault="00BB4848" w:rsidP="00EF128A">
            <w:pPr>
              <w:tabs>
                <w:tab w:val="left" w:pos="720"/>
                <w:tab w:val="center" w:pos="2773"/>
              </w:tabs>
              <w:spacing w:before="120"/>
              <w:ind w:right="-113"/>
              <w:rPr>
                <w:i/>
                <w:sz w:val="26"/>
                <w:szCs w:val="26"/>
              </w:rPr>
            </w:pPr>
            <w:r w:rsidRPr="00115650">
              <w:rPr>
                <w:i/>
                <w:sz w:val="26"/>
                <w:szCs w:val="26"/>
              </w:rPr>
              <w:t xml:space="preserve">              </w:t>
            </w:r>
            <w:r w:rsidR="00D2059B" w:rsidRPr="00115650">
              <w:rPr>
                <w:i/>
                <w:sz w:val="26"/>
                <w:szCs w:val="26"/>
              </w:rPr>
              <w:t>Bắc Kạn</w:t>
            </w:r>
            <w:r w:rsidR="00104666" w:rsidRPr="00115650">
              <w:rPr>
                <w:i/>
                <w:sz w:val="26"/>
                <w:szCs w:val="26"/>
              </w:rPr>
              <w:t xml:space="preserve">, ngày </w:t>
            </w:r>
            <w:r w:rsidR="00015A9E" w:rsidRPr="00115650">
              <w:rPr>
                <w:i/>
                <w:sz w:val="26"/>
                <w:szCs w:val="26"/>
              </w:rPr>
              <w:t xml:space="preserve">   </w:t>
            </w:r>
            <w:r w:rsidR="00493113" w:rsidRPr="00115650">
              <w:rPr>
                <w:i/>
                <w:sz w:val="26"/>
                <w:szCs w:val="26"/>
              </w:rPr>
              <w:t xml:space="preserve">  </w:t>
            </w:r>
            <w:r w:rsidR="00015A9E" w:rsidRPr="00115650">
              <w:rPr>
                <w:i/>
                <w:sz w:val="26"/>
                <w:szCs w:val="26"/>
              </w:rPr>
              <w:t xml:space="preserve">   tháng </w:t>
            </w:r>
            <w:r w:rsidR="002E7DA8" w:rsidRPr="00115650">
              <w:rPr>
                <w:i/>
                <w:sz w:val="26"/>
                <w:szCs w:val="26"/>
              </w:rPr>
              <w:t xml:space="preserve"> </w:t>
            </w:r>
            <w:r w:rsidR="0027567B">
              <w:rPr>
                <w:i/>
                <w:sz w:val="26"/>
                <w:szCs w:val="26"/>
              </w:rPr>
              <w:t xml:space="preserve">    </w:t>
            </w:r>
            <w:r w:rsidR="00104666" w:rsidRPr="00115650">
              <w:rPr>
                <w:i/>
                <w:sz w:val="26"/>
                <w:szCs w:val="26"/>
              </w:rPr>
              <w:t xml:space="preserve"> năm 20</w:t>
            </w:r>
            <w:r w:rsidR="002E7DA8" w:rsidRPr="00115650">
              <w:rPr>
                <w:i/>
                <w:sz w:val="26"/>
                <w:szCs w:val="26"/>
              </w:rPr>
              <w:t>2</w:t>
            </w:r>
            <w:r w:rsidR="007B5620" w:rsidRPr="00115650">
              <w:rPr>
                <w:i/>
                <w:sz w:val="26"/>
                <w:szCs w:val="26"/>
              </w:rPr>
              <w:t>2</w:t>
            </w:r>
          </w:p>
          <w:p w:rsidR="002E7DA8" w:rsidRPr="00115650" w:rsidRDefault="002E7DA8" w:rsidP="002E7DA8">
            <w:pPr>
              <w:tabs>
                <w:tab w:val="left" w:pos="720"/>
                <w:tab w:val="center" w:pos="2773"/>
              </w:tabs>
              <w:ind w:right="-113"/>
              <w:jc w:val="center"/>
              <w:rPr>
                <w:i/>
                <w:sz w:val="28"/>
                <w:szCs w:val="28"/>
              </w:rPr>
            </w:pPr>
          </w:p>
        </w:tc>
      </w:tr>
    </w:tbl>
    <w:p w:rsidR="00104666" w:rsidRPr="00115650" w:rsidRDefault="00104666" w:rsidP="00104666">
      <w:pPr>
        <w:pStyle w:val="BodyTextIndent2"/>
        <w:spacing w:after="60"/>
        <w:ind w:firstLine="709"/>
        <w:rPr>
          <w:sz w:val="6"/>
        </w:rPr>
      </w:pPr>
    </w:p>
    <w:p w:rsidR="002F1149" w:rsidRPr="00B87999" w:rsidRDefault="007B5620" w:rsidP="00426D8C">
      <w:pPr>
        <w:spacing w:before="120"/>
        <w:jc w:val="center"/>
        <w:rPr>
          <w:rFonts w:eastAsia="Calibri"/>
          <w:b/>
          <w:sz w:val="28"/>
          <w:szCs w:val="28"/>
        </w:rPr>
      </w:pPr>
      <w:r w:rsidRPr="00B87999">
        <w:rPr>
          <w:rFonts w:eastAsia="Calibri"/>
          <w:b/>
          <w:sz w:val="28"/>
          <w:szCs w:val="28"/>
        </w:rPr>
        <w:t>THUYẾT MINH</w:t>
      </w:r>
    </w:p>
    <w:p w:rsidR="00840585" w:rsidRDefault="00426D8C" w:rsidP="007B5620">
      <w:pPr>
        <w:jc w:val="center"/>
        <w:rPr>
          <w:b/>
          <w:sz w:val="28"/>
          <w:szCs w:val="28"/>
        </w:rPr>
      </w:pPr>
      <w:r w:rsidRPr="00115650">
        <w:rPr>
          <w:b/>
          <w:sz w:val="28"/>
          <w:szCs w:val="28"/>
        </w:rPr>
        <w:t xml:space="preserve">Nghị quyết quy định </w:t>
      </w:r>
      <w:r w:rsidR="002F1149" w:rsidRPr="00115650">
        <w:rPr>
          <w:b/>
          <w:sz w:val="28"/>
          <w:szCs w:val="28"/>
        </w:rPr>
        <w:t xml:space="preserve">mức chi xây dựng quy chuẩn kỹ thuật </w:t>
      </w:r>
    </w:p>
    <w:p w:rsidR="002F1149" w:rsidRPr="00115650" w:rsidRDefault="002F1149" w:rsidP="007B5620">
      <w:pPr>
        <w:jc w:val="center"/>
        <w:rPr>
          <w:b/>
          <w:sz w:val="28"/>
          <w:szCs w:val="28"/>
        </w:rPr>
      </w:pPr>
      <w:r w:rsidRPr="00115650">
        <w:rPr>
          <w:b/>
          <w:sz w:val="28"/>
          <w:szCs w:val="28"/>
        </w:rPr>
        <w:t xml:space="preserve">địa phương </w:t>
      </w:r>
      <w:r w:rsidR="00117F27">
        <w:rPr>
          <w:b/>
          <w:sz w:val="28"/>
          <w:szCs w:val="28"/>
        </w:rPr>
        <w:t>trên địa bàn</w:t>
      </w:r>
      <w:r w:rsidRPr="00115650">
        <w:rPr>
          <w:b/>
          <w:sz w:val="28"/>
          <w:szCs w:val="28"/>
        </w:rPr>
        <w:t xml:space="preserve"> </w:t>
      </w:r>
      <w:r w:rsidR="005C4B85" w:rsidRPr="00115650">
        <w:rPr>
          <w:b/>
          <w:sz w:val="28"/>
          <w:szCs w:val="28"/>
        </w:rPr>
        <w:t>tỉnh Bắc Kạn</w:t>
      </w:r>
    </w:p>
    <w:p w:rsidR="006E6572" w:rsidRPr="00B87999" w:rsidRDefault="008C6FB3" w:rsidP="006E6572">
      <w:pPr>
        <w:spacing w:before="120"/>
        <w:jc w:val="both"/>
        <w:rPr>
          <w:spacing w:val="-4"/>
        </w:rPr>
      </w:pPr>
      <w:r>
        <w:rPr>
          <w:b/>
          <w:noProof/>
          <w:spacing w:val="4"/>
          <w:sz w:val="28"/>
          <w:szCs w:val="28"/>
        </w:rPr>
        <w:pict>
          <v:line id="_x0000_s1031" style="position:absolute;left:0;text-align:left;z-index:251657728" from="155.95pt,1.6pt" to="296.85pt,1.6pt"/>
        </w:pict>
      </w:r>
      <w:r w:rsidR="007B5620" w:rsidRPr="00B87999">
        <w:rPr>
          <w:spacing w:val="-4"/>
        </w:rPr>
        <w:tab/>
      </w:r>
    </w:p>
    <w:p w:rsidR="006E6572" w:rsidRDefault="00863533" w:rsidP="00D97C37">
      <w:pPr>
        <w:spacing w:before="120"/>
        <w:ind w:firstLine="720"/>
        <w:jc w:val="both"/>
        <w:rPr>
          <w:sz w:val="28"/>
          <w:szCs w:val="28"/>
        </w:rPr>
      </w:pPr>
      <w:r w:rsidRPr="00B87999">
        <w:rPr>
          <w:spacing w:val="-4"/>
          <w:sz w:val="28"/>
          <w:szCs w:val="28"/>
        </w:rPr>
        <w:t xml:space="preserve">Thực hiện </w:t>
      </w:r>
      <w:r w:rsidRPr="006E6572">
        <w:rPr>
          <w:sz w:val="28"/>
          <w:szCs w:val="28"/>
        </w:rPr>
        <w:t xml:space="preserve">Thông tư số 27/2020/TT-BTC ngày 17/4/2020 của Bộ trưởng Bộ Tài chính hướng dẫn quản lý và sử dụng kinh phí xây dựng tiêu chuẩn quốc gia và quy chuẩn kỹ thuật; Quyết định số 815/QĐ-BTC ngày 03/6/2020 của Bộ trưởng Bộ Tài chính về việc đính chính Thông tư số 27/2020/TT-BTC ngày </w:t>
      </w:r>
      <w:r w:rsidRPr="006E6572">
        <w:rPr>
          <w:sz w:val="28"/>
          <w:szCs w:val="28"/>
          <w:lang w:val="vi-VN"/>
        </w:rPr>
        <w:t>1</w:t>
      </w:r>
      <w:r w:rsidRPr="006E6572">
        <w:rPr>
          <w:sz w:val="28"/>
          <w:szCs w:val="28"/>
        </w:rPr>
        <w:t>7</w:t>
      </w:r>
      <w:r w:rsidRPr="006E6572">
        <w:rPr>
          <w:sz w:val="28"/>
          <w:szCs w:val="28"/>
          <w:lang w:val="vi-VN"/>
        </w:rPr>
        <w:t>/</w:t>
      </w:r>
      <w:r w:rsidRPr="006E6572">
        <w:rPr>
          <w:sz w:val="28"/>
          <w:szCs w:val="28"/>
        </w:rPr>
        <w:t>4</w:t>
      </w:r>
      <w:r w:rsidRPr="006E6572">
        <w:rPr>
          <w:sz w:val="28"/>
          <w:szCs w:val="28"/>
          <w:lang w:val="vi-VN"/>
        </w:rPr>
        <w:t>/20</w:t>
      </w:r>
      <w:r w:rsidRPr="006E6572">
        <w:rPr>
          <w:sz w:val="28"/>
          <w:szCs w:val="28"/>
        </w:rPr>
        <w:t>20 của Bộ Tài chính hướng dẫn quản lý và sử dụng kinh phí xây dựng tiêu chuẩn quốc gia và quy chuẩn kỹ thuật</w:t>
      </w:r>
      <w:r w:rsidR="00B248D9" w:rsidRPr="006E6572">
        <w:rPr>
          <w:sz w:val="28"/>
          <w:szCs w:val="28"/>
        </w:rPr>
        <w:t>; Văn bản số 160/HĐND-VP ngày 24/8/2022 c</w:t>
      </w:r>
      <w:r w:rsidR="002C6247">
        <w:rPr>
          <w:sz w:val="28"/>
          <w:szCs w:val="28"/>
        </w:rPr>
        <w:t>ủa Hội đồng nhân dân tỉnh về</w:t>
      </w:r>
      <w:r w:rsidR="007661AB">
        <w:rPr>
          <w:sz w:val="28"/>
          <w:szCs w:val="28"/>
        </w:rPr>
        <w:t xml:space="preserve"> việ</w:t>
      </w:r>
      <w:r w:rsidR="00B248D9" w:rsidRPr="006E6572">
        <w:rPr>
          <w:sz w:val="28"/>
          <w:szCs w:val="28"/>
        </w:rPr>
        <w:t>c cho ý kiến xây dựng Nghị Quyết đối với các Tờ trình số</w:t>
      </w:r>
      <w:r w:rsidR="002B7E8D">
        <w:rPr>
          <w:sz w:val="28"/>
          <w:szCs w:val="28"/>
        </w:rPr>
        <w:t xml:space="preserve"> </w:t>
      </w:r>
      <w:r w:rsidR="00B248D9" w:rsidRPr="006E6572">
        <w:rPr>
          <w:sz w:val="28"/>
          <w:szCs w:val="28"/>
        </w:rPr>
        <w:t>130/TTr-UBND ngày 15/8/2022 và 132/TTr-UBND ngày 18/8/2022 của UBND tỉnh</w:t>
      </w:r>
      <w:r w:rsidR="0068544D">
        <w:rPr>
          <w:sz w:val="28"/>
          <w:szCs w:val="28"/>
        </w:rPr>
        <w:t>.</w:t>
      </w:r>
    </w:p>
    <w:p w:rsidR="00CF23DF" w:rsidRPr="002F1B6A" w:rsidRDefault="00CF23DF" w:rsidP="00D97C37">
      <w:pPr>
        <w:spacing w:before="120"/>
        <w:ind w:firstLine="720"/>
        <w:jc w:val="both"/>
        <w:rPr>
          <w:sz w:val="28"/>
          <w:szCs w:val="28"/>
        </w:rPr>
      </w:pPr>
      <w:r w:rsidRPr="002F1B6A">
        <w:rPr>
          <w:spacing w:val="-4"/>
          <w:sz w:val="28"/>
          <w:szCs w:val="28"/>
        </w:rPr>
        <w:t xml:space="preserve">Ủy ban nhân dân </w:t>
      </w:r>
      <w:r w:rsidR="007A44B5" w:rsidRPr="002F1B6A">
        <w:rPr>
          <w:spacing w:val="-4"/>
          <w:sz w:val="28"/>
          <w:szCs w:val="28"/>
        </w:rPr>
        <w:t>tỉnh  xây dựng</w:t>
      </w:r>
      <w:r w:rsidR="0068544D" w:rsidRPr="002F1B6A">
        <w:rPr>
          <w:spacing w:val="-4"/>
          <w:sz w:val="28"/>
          <w:szCs w:val="28"/>
        </w:rPr>
        <w:t xml:space="preserve"> thuyết minh </w:t>
      </w:r>
      <w:r w:rsidR="00117F27" w:rsidRPr="002F1B6A">
        <w:rPr>
          <w:sz w:val="28"/>
          <w:szCs w:val="28"/>
        </w:rPr>
        <w:t>Nghị quyết quy định mức chi xây dựng quy chuẩn kỹ thuật địa phương trên địa bàn tỉnh Bắc Kạn</w:t>
      </w:r>
      <w:r w:rsidR="0068544D" w:rsidRPr="002F1B6A">
        <w:rPr>
          <w:sz w:val="28"/>
          <w:szCs w:val="28"/>
        </w:rPr>
        <w:t>,</w:t>
      </w:r>
      <w:r w:rsidRPr="002F1B6A">
        <w:rPr>
          <w:spacing w:val="-4"/>
          <w:sz w:val="28"/>
          <w:szCs w:val="28"/>
        </w:rPr>
        <w:t xml:space="preserve"> như sau:</w:t>
      </w:r>
    </w:p>
    <w:p w:rsidR="00127322" w:rsidRPr="002F1B6A" w:rsidRDefault="001543E4" w:rsidP="00D97C37">
      <w:pPr>
        <w:spacing w:before="120"/>
        <w:ind w:firstLine="720"/>
        <w:jc w:val="both"/>
        <w:rPr>
          <w:b/>
          <w:sz w:val="28"/>
          <w:szCs w:val="28"/>
        </w:rPr>
      </w:pPr>
      <w:r w:rsidRPr="002F1B6A">
        <w:rPr>
          <w:b/>
          <w:sz w:val="28"/>
          <w:szCs w:val="28"/>
        </w:rPr>
        <w:t xml:space="preserve">I. </w:t>
      </w:r>
      <w:r w:rsidR="00870D1C" w:rsidRPr="002F1B6A">
        <w:rPr>
          <w:b/>
          <w:sz w:val="28"/>
          <w:szCs w:val="28"/>
        </w:rPr>
        <w:t>Cơ sở pháp lý và sự cần thiết</w:t>
      </w:r>
      <w:r w:rsidR="00D10A68" w:rsidRPr="002F1B6A">
        <w:rPr>
          <w:b/>
          <w:sz w:val="28"/>
          <w:szCs w:val="28"/>
        </w:rPr>
        <w:t xml:space="preserve"> </w:t>
      </w:r>
      <w:r w:rsidR="00127322" w:rsidRPr="002F1B6A">
        <w:rPr>
          <w:b/>
          <w:sz w:val="28"/>
          <w:szCs w:val="28"/>
        </w:rPr>
        <w:t xml:space="preserve">ban hành </w:t>
      </w:r>
      <w:r w:rsidR="00870D1C" w:rsidRPr="002F1B6A">
        <w:rPr>
          <w:b/>
          <w:sz w:val="28"/>
          <w:szCs w:val="28"/>
        </w:rPr>
        <w:t>Nghị quyết</w:t>
      </w:r>
    </w:p>
    <w:p w:rsidR="008C5702" w:rsidRPr="002F1B6A" w:rsidRDefault="008C5702" w:rsidP="00D97C37">
      <w:pPr>
        <w:spacing w:before="120"/>
        <w:ind w:firstLine="720"/>
        <w:jc w:val="both"/>
        <w:rPr>
          <w:b/>
          <w:sz w:val="28"/>
          <w:szCs w:val="28"/>
        </w:rPr>
      </w:pPr>
      <w:r w:rsidRPr="002F1B6A">
        <w:rPr>
          <w:b/>
          <w:sz w:val="28"/>
          <w:szCs w:val="28"/>
        </w:rPr>
        <w:t>1. Cơ sở pháp lý</w:t>
      </w:r>
    </w:p>
    <w:p w:rsidR="008C5702" w:rsidRPr="002F1B6A" w:rsidRDefault="008C5702" w:rsidP="00D97C37">
      <w:pPr>
        <w:pStyle w:val="BodyText0"/>
        <w:spacing w:before="120" w:after="0"/>
        <w:ind w:firstLine="720"/>
        <w:jc w:val="both"/>
        <w:rPr>
          <w:rFonts w:ascii="Times New Roman" w:hAnsi="Times New Roman"/>
          <w:color w:val="auto"/>
        </w:rPr>
      </w:pPr>
      <w:r w:rsidRPr="002F1B6A">
        <w:rPr>
          <w:rFonts w:ascii="Times New Roman" w:hAnsi="Times New Roman"/>
          <w:color w:val="auto"/>
        </w:rPr>
        <w:t>- Luật Tổ chức chính quyền địa phương ngày 19/6/2015; Luật sửa đổi, bổ sung một số điều của Luật Tổ chức Chính phủ và Luật Tổ chức chính quyền địa phương ngày 22/11/2019;</w:t>
      </w:r>
    </w:p>
    <w:p w:rsidR="008C5702" w:rsidRPr="002F1B6A" w:rsidRDefault="008C5702" w:rsidP="00D97C37">
      <w:pPr>
        <w:spacing w:before="120"/>
        <w:ind w:firstLine="720"/>
        <w:jc w:val="both"/>
        <w:rPr>
          <w:sz w:val="28"/>
          <w:szCs w:val="28"/>
        </w:rPr>
      </w:pPr>
      <w:r w:rsidRPr="002F1B6A">
        <w:rPr>
          <w:sz w:val="28"/>
          <w:szCs w:val="28"/>
        </w:rPr>
        <w:t>- Luật Ban hành văn bản quy phạm pháp luật ngày 22/6/2015;</w:t>
      </w:r>
      <w:r w:rsidRPr="002F1B6A">
        <w:t xml:space="preserve"> </w:t>
      </w:r>
      <w:r w:rsidRPr="002F1B6A">
        <w:rPr>
          <w:sz w:val="28"/>
          <w:szCs w:val="28"/>
        </w:rPr>
        <w:t>Luật Sửa đổi, bổ sung một số điều của Luật Ban hành văn bản quy phạm pháp luật ngày 18/6/2020;</w:t>
      </w:r>
    </w:p>
    <w:p w:rsidR="008C5702" w:rsidRPr="002F1B6A" w:rsidRDefault="008C5702" w:rsidP="00D97C37">
      <w:pPr>
        <w:spacing w:before="120"/>
        <w:ind w:firstLine="720"/>
        <w:jc w:val="both"/>
        <w:rPr>
          <w:sz w:val="28"/>
          <w:szCs w:val="28"/>
        </w:rPr>
      </w:pPr>
      <w:r w:rsidRPr="002F1B6A">
        <w:rPr>
          <w:sz w:val="28"/>
          <w:szCs w:val="28"/>
        </w:rPr>
        <w:t>- Luật Tiêu chuẩn và quy chuẩn kỹ thuật ngày 29/6/2006;</w:t>
      </w:r>
    </w:p>
    <w:p w:rsidR="008C5702" w:rsidRPr="002F1B6A" w:rsidRDefault="008C5702" w:rsidP="00D97C37">
      <w:pPr>
        <w:spacing w:before="120"/>
        <w:ind w:firstLine="720"/>
        <w:jc w:val="both"/>
        <w:rPr>
          <w:sz w:val="28"/>
          <w:szCs w:val="28"/>
        </w:rPr>
      </w:pPr>
      <w:r w:rsidRPr="002F1B6A">
        <w:rPr>
          <w:sz w:val="28"/>
          <w:szCs w:val="28"/>
        </w:rPr>
        <w:t>- Luật Ngân sách nhà nước ngày 25/6/2015;</w:t>
      </w:r>
    </w:p>
    <w:p w:rsidR="008C5702" w:rsidRPr="002F1B6A" w:rsidRDefault="008C5702" w:rsidP="00D97C37">
      <w:pPr>
        <w:spacing w:before="120"/>
        <w:ind w:firstLine="720"/>
        <w:jc w:val="both"/>
        <w:rPr>
          <w:spacing w:val="-4"/>
          <w:sz w:val="28"/>
          <w:szCs w:val="28"/>
        </w:rPr>
      </w:pPr>
      <w:r w:rsidRPr="002F1B6A">
        <w:rPr>
          <w:spacing w:val="-4"/>
          <w:sz w:val="28"/>
          <w:szCs w:val="28"/>
        </w:rPr>
        <w:t>- Nghị định số 127/2007/NĐ-CP ngày 01/8/2007 của Chính phủ ban quy định chi tiết thi hành một số điều của Luật Tiêu chuẩn và Quy chuẩn kỹ thuật;</w:t>
      </w:r>
      <w:r w:rsidRPr="002F1B6A">
        <w:rPr>
          <w:sz w:val="28"/>
          <w:szCs w:val="28"/>
        </w:rPr>
        <w:t xml:space="preserve"> Nghị định số 78/2018/NĐ-CP ngày 16 tháng 6 năm 2018 của Chính phủ sửa đổi, bổ sung một số điều của Nghị định số 127/2007/NĐ-CP ngày 01 tháng 8 năm 2007 của Chính phủ quy định chi tiết thi hành một số điều của Luật Tiêu chuẩn và Quy chuẩn kỹ thuật;</w:t>
      </w:r>
    </w:p>
    <w:p w:rsidR="008C5702" w:rsidRPr="002F1B6A" w:rsidRDefault="008C5702" w:rsidP="00D97C37">
      <w:pPr>
        <w:pStyle w:val="BodyText0"/>
        <w:spacing w:before="120" w:after="0"/>
        <w:ind w:firstLine="720"/>
        <w:jc w:val="both"/>
        <w:rPr>
          <w:rFonts w:ascii="Times New Roman" w:hAnsi="Times New Roman"/>
          <w:color w:val="auto"/>
        </w:rPr>
      </w:pPr>
      <w:r w:rsidRPr="002F1B6A">
        <w:rPr>
          <w:rFonts w:ascii="Times New Roman" w:hAnsi="Times New Roman"/>
          <w:color w:val="auto"/>
        </w:rPr>
        <w:t>- Nghị định số 163/2016/NĐ-CP ngày 21/12/1016 của Chính phủ quy định chi tiết thi hành một số điều của Luật Ngân sách nhà nước;</w:t>
      </w:r>
    </w:p>
    <w:p w:rsidR="008C5702" w:rsidRPr="002F1B6A" w:rsidRDefault="008C5702" w:rsidP="00D97C37">
      <w:pPr>
        <w:spacing w:before="120"/>
        <w:ind w:firstLine="720"/>
        <w:jc w:val="both"/>
        <w:rPr>
          <w:sz w:val="28"/>
          <w:szCs w:val="28"/>
        </w:rPr>
      </w:pPr>
      <w:r w:rsidRPr="002F1B6A">
        <w:rPr>
          <w:sz w:val="28"/>
          <w:szCs w:val="28"/>
        </w:rPr>
        <w:t>- Thông tư số 21/2007/TT-BKHCN ngày 28/9/2007 của Bộ trưởng Bộ Khoa học và Công nghệ về hướng dẫn</w:t>
      </w:r>
      <w:r w:rsidR="00EB2B6B" w:rsidRPr="002F1B6A">
        <w:rPr>
          <w:sz w:val="28"/>
          <w:szCs w:val="28"/>
        </w:rPr>
        <w:t xml:space="preserve"> xây dựng và áp dụng tiêu chuẩn;</w:t>
      </w:r>
    </w:p>
    <w:p w:rsidR="008C5702" w:rsidRPr="002F1B6A" w:rsidRDefault="008C5702" w:rsidP="00D97C37">
      <w:pPr>
        <w:spacing w:before="120"/>
        <w:ind w:firstLine="720"/>
        <w:jc w:val="both"/>
        <w:rPr>
          <w:sz w:val="28"/>
          <w:szCs w:val="28"/>
        </w:rPr>
      </w:pPr>
      <w:r w:rsidRPr="002F1B6A">
        <w:rPr>
          <w:sz w:val="28"/>
          <w:szCs w:val="28"/>
        </w:rPr>
        <w:lastRenderedPageBreak/>
        <w:t>- Thông tư số 342/2016/TT-BTC ngày 30/12/2016 của Bộ trưởng Bộ Tài chính về quy định chi tiết và hướng dẫn thi hành một số điều của Nghị định số 163/2016/NĐ-CP ngày 21/12/1016 của Chính phủ quy định chi tiết thi hành một số điều của Luật Ngân sách nhà nước;</w:t>
      </w:r>
    </w:p>
    <w:p w:rsidR="008C5702" w:rsidRPr="002F1B6A" w:rsidRDefault="008C5702" w:rsidP="00D97C37">
      <w:pPr>
        <w:spacing w:before="120"/>
        <w:ind w:firstLine="720"/>
        <w:jc w:val="both"/>
        <w:rPr>
          <w:sz w:val="28"/>
          <w:szCs w:val="28"/>
        </w:rPr>
      </w:pPr>
      <w:r w:rsidRPr="002F1B6A">
        <w:rPr>
          <w:sz w:val="28"/>
          <w:szCs w:val="28"/>
        </w:rPr>
        <w:t>- Thông tư số 26/2019/TT-BKHCN ngày 25/12/2019 của Bộ trưởng Bộ Khoa học và Công nghệ quy định chi tiết xây dựng, thẩm định và ban hành quy chuẩn kỹ thuật;</w:t>
      </w:r>
    </w:p>
    <w:p w:rsidR="008C5702" w:rsidRPr="002F1B6A" w:rsidRDefault="008C5702" w:rsidP="00D97C37">
      <w:pPr>
        <w:spacing w:before="120"/>
        <w:ind w:firstLine="720"/>
        <w:jc w:val="both"/>
        <w:rPr>
          <w:sz w:val="28"/>
          <w:szCs w:val="28"/>
        </w:rPr>
      </w:pPr>
      <w:r w:rsidRPr="002F1B6A">
        <w:rPr>
          <w:sz w:val="28"/>
          <w:szCs w:val="28"/>
        </w:rPr>
        <w:t xml:space="preserve">- Thông tư số 27/2020/TT-BTC ngày 17/4/2020 của Bộ trưởng Bộ Tài chính hướng dẫn quản lý và sử dụng kinh phí xây dựng tiêu chuẩn quốc gia và quy chuẩn kỹ thuật; Quyết định số 815/QĐ-BTC ngày 03/6/2020 của Bộ trưởng Bộ Tài chính về việc đính chính Thông tư số 27/2020/TT-BTC ngày </w:t>
      </w:r>
      <w:r w:rsidRPr="00115650">
        <w:rPr>
          <w:sz w:val="28"/>
          <w:szCs w:val="28"/>
          <w:lang w:val="vi-VN"/>
        </w:rPr>
        <w:t>1</w:t>
      </w:r>
      <w:r w:rsidRPr="002F1B6A">
        <w:rPr>
          <w:sz w:val="28"/>
          <w:szCs w:val="28"/>
        </w:rPr>
        <w:t>7</w:t>
      </w:r>
      <w:r w:rsidRPr="00115650">
        <w:rPr>
          <w:sz w:val="28"/>
          <w:szCs w:val="28"/>
          <w:lang w:val="vi-VN"/>
        </w:rPr>
        <w:t>/</w:t>
      </w:r>
      <w:r w:rsidRPr="002F1B6A">
        <w:rPr>
          <w:sz w:val="28"/>
          <w:szCs w:val="28"/>
        </w:rPr>
        <w:t>4</w:t>
      </w:r>
      <w:r w:rsidRPr="00115650">
        <w:rPr>
          <w:sz w:val="28"/>
          <w:szCs w:val="28"/>
          <w:lang w:val="vi-VN"/>
        </w:rPr>
        <w:t>/20</w:t>
      </w:r>
      <w:r w:rsidRPr="002F1B6A">
        <w:rPr>
          <w:sz w:val="28"/>
          <w:szCs w:val="28"/>
        </w:rPr>
        <w:t xml:space="preserve">20 của Bộ Tài chính hướng dẫn quản lý và sử dụng kinh phí xây dựng tiêu chuẩn quốc gia và quy chuẩn kỹ thuật. </w:t>
      </w:r>
    </w:p>
    <w:p w:rsidR="009A552B" w:rsidRPr="002F1B6A" w:rsidRDefault="008C5702" w:rsidP="00D97C37">
      <w:pPr>
        <w:pStyle w:val="NormalWeb"/>
        <w:shd w:val="clear" w:color="auto" w:fill="FFFFFF"/>
        <w:spacing w:before="120" w:beforeAutospacing="0" w:after="0" w:afterAutospacing="0"/>
        <w:ind w:firstLine="720"/>
        <w:jc w:val="both"/>
        <w:rPr>
          <w:b/>
          <w:sz w:val="28"/>
          <w:szCs w:val="28"/>
        </w:rPr>
      </w:pPr>
      <w:r w:rsidRPr="002F1B6A">
        <w:rPr>
          <w:b/>
          <w:sz w:val="28"/>
          <w:szCs w:val="28"/>
        </w:rPr>
        <w:t>2. Sự cần thiết</w:t>
      </w:r>
      <w:bookmarkStart w:id="0" w:name="dieu_4"/>
      <w:r w:rsidR="004913C0" w:rsidRPr="002F1B6A">
        <w:rPr>
          <w:b/>
          <w:sz w:val="28"/>
          <w:szCs w:val="28"/>
        </w:rPr>
        <w:t xml:space="preserve"> ban hành Nghị quyết</w:t>
      </w:r>
    </w:p>
    <w:p w:rsidR="008B7825" w:rsidRPr="002F1B6A" w:rsidRDefault="008B7825" w:rsidP="00D97C37">
      <w:pPr>
        <w:pStyle w:val="NormalWeb"/>
        <w:shd w:val="clear" w:color="auto" w:fill="FFFFFF"/>
        <w:spacing w:before="120" w:beforeAutospacing="0" w:after="0" w:afterAutospacing="0"/>
        <w:ind w:firstLine="720"/>
        <w:jc w:val="both"/>
        <w:rPr>
          <w:b/>
          <w:sz w:val="28"/>
          <w:szCs w:val="28"/>
        </w:rPr>
      </w:pPr>
      <w:r>
        <w:rPr>
          <w:rFonts w:eastAsia="Calibri"/>
          <w:b/>
          <w:iCs/>
          <w:sz w:val="28"/>
          <w:szCs w:val="28"/>
        </w:rPr>
        <w:t>2.</w:t>
      </w:r>
      <w:r w:rsidR="00EC6001">
        <w:rPr>
          <w:rFonts w:eastAsia="Calibri"/>
          <w:b/>
          <w:iCs/>
          <w:sz w:val="28"/>
          <w:szCs w:val="28"/>
        </w:rPr>
        <w:t>1</w:t>
      </w:r>
      <w:r w:rsidR="00456229" w:rsidRPr="009A552B">
        <w:rPr>
          <w:rFonts w:eastAsia="Calibri"/>
          <w:b/>
          <w:iCs/>
          <w:sz w:val="28"/>
          <w:szCs w:val="28"/>
        </w:rPr>
        <w:t xml:space="preserve"> Cơ sở pháp lý</w:t>
      </w:r>
    </w:p>
    <w:p w:rsidR="008B7825" w:rsidRPr="002F1B6A" w:rsidRDefault="00456229" w:rsidP="00D97C37">
      <w:pPr>
        <w:pStyle w:val="NormalWeb"/>
        <w:shd w:val="clear" w:color="auto" w:fill="FFFFFF"/>
        <w:spacing w:before="120" w:beforeAutospacing="0" w:after="0" w:afterAutospacing="0"/>
        <w:ind w:firstLine="720"/>
        <w:jc w:val="both"/>
        <w:rPr>
          <w:b/>
          <w:sz w:val="28"/>
          <w:szCs w:val="28"/>
        </w:rPr>
      </w:pPr>
      <w:r w:rsidRPr="009A552B">
        <w:rPr>
          <w:rFonts w:eastAsia="Calibri"/>
          <w:iCs/>
          <w:sz w:val="28"/>
          <w:szCs w:val="28"/>
          <w:shd w:val="clear" w:color="auto" w:fill="FFFFFF"/>
        </w:rPr>
        <w:t>Hệ thống quy chuẩn kỹ thuật của Việt Nam bao gồm quy chuẩn kỹ thuật quốc gia (QCVN) và quy chuẩn kỹ thuật địa phương (QCĐP)</w:t>
      </w:r>
      <w:r w:rsidRPr="009A552B">
        <w:rPr>
          <w:rStyle w:val="FootnoteReference"/>
          <w:rFonts w:eastAsia="Calibri"/>
          <w:sz w:val="28"/>
          <w:szCs w:val="28"/>
          <w:shd w:val="clear" w:color="auto" w:fill="FFFFFF"/>
        </w:rPr>
        <w:footnoteReference w:id="1"/>
      </w:r>
      <w:r w:rsidRPr="009A552B">
        <w:rPr>
          <w:rFonts w:eastAsia="Calibri"/>
          <w:iCs/>
          <w:sz w:val="28"/>
          <w:szCs w:val="28"/>
          <w:shd w:val="clear" w:color="auto" w:fill="FFFFFF"/>
        </w:rPr>
        <w:t xml:space="preserve">. Theo quy định tại điểm a khoản 2 Điều 27 Luật Tiêu chuẩn và quy chuẩn kỹ thuật ngày 29 tháng 6 năm 2006: </w:t>
      </w:r>
      <w:r w:rsidRPr="009A552B">
        <w:rPr>
          <w:rFonts w:eastAsia="Calibri"/>
          <w:i/>
          <w:iCs/>
          <w:sz w:val="28"/>
          <w:szCs w:val="28"/>
          <w:shd w:val="clear" w:color="auto" w:fill="FFFFFF"/>
        </w:rPr>
        <w:t>“Uỷ ban nhân dân tỉnh, thành phố trực thuộc trung ương xây dựng và ban hành quy chuẩn kỹ thuật địa phương để áp dụng trong phạm vi quản lý của địa phương đối với sản phẩm, hàng hoá, dịch vụ, quá trình đặc thù của địa phương và yêu cầu cụ thể về môi trường cho phù hợp với đặc điểm về địa lý, khí hậu, thuỷ văn, trình độ phát triển kinh tế - xã hội của địa phương.”</w:t>
      </w:r>
    </w:p>
    <w:p w:rsidR="00456229" w:rsidRPr="002F1B6A" w:rsidRDefault="00456229" w:rsidP="00D97C37">
      <w:pPr>
        <w:pStyle w:val="NormalWeb"/>
        <w:shd w:val="clear" w:color="auto" w:fill="FFFFFF"/>
        <w:spacing w:before="120" w:beforeAutospacing="0" w:after="0" w:afterAutospacing="0"/>
        <w:ind w:firstLine="720"/>
        <w:jc w:val="both"/>
        <w:rPr>
          <w:b/>
          <w:sz w:val="28"/>
          <w:szCs w:val="28"/>
        </w:rPr>
      </w:pPr>
      <w:r w:rsidRPr="009A552B">
        <w:rPr>
          <w:sz w:val="28"/>
          <w:szCs w:val="28"/>
        </w:rPr>
        <w:t xml:space="preserve">Bộ Tài chính ban hành </w:t>
      </w:r>
      <w:r w:rsidRPr="009A552B">
        <w:rPr>
          <w:rFonts w:eastAsia="Calibri"/>
          <w:iCs/>
          <w:sz w:val="28"/>
          <w:szCs w:val="28"/>
          <w:shd w:val="clear" w:color="auto" w:fill="FFFFFF"/>
        </w:rPr>
        <w:t>Thông tư số 27/2020/TT-BTC ngày 17/4/2020 Hướng dẫn quản lý sử dụng kinh phí xây dựng tiêu chuẩn quốc gia và quy chuẩn kỹ thuật có hiệu lực thi hành kể từ ngày 05/6/2020. Tại khoản 2 Điều 5 Thông tư trên</w:t>
      </w:r>
      <w:r w:rsidRPr="009A552B">
        <w:rPr>
          <w:rStyle w:val="FootnoteReference"/>
          <w:rFonts w:eastAsia="Calibri"/>
          <w:sz w:val="28"/>
          <w:szCs w:val="28"/>
          <w:shd w:val="clear" w:color="auto" w:fill="FFFFFF"/>
        </w:rPr>
        <w:footnoteReference w:id="2"/>
      </w:r>
      <w:r w:rsidRPr="009A552B">
        <w:rPr>
          <w:rFonts w:eastAsia="Calibri"/>
          <w:iCs/>
          <w:sz w:val="28"/>
          <w:szCs w:val="28"/>
          <w:shd w:val="clear" w:color="auto" w:fill="FFFFFF"/>
        </w:rPr>
        <w:t xml:space="preserve"> quy định:</w:t>
      </w:r>
      <w:r w:rsidRPr="009A552B">
        <w:rPr>
          <w:rFonts w:eastAsia="Calibri"/>
          <w:i/>
          <w:iCs/>
          <w:sz w:val="28"/>
          <w:szCs w:val="28"/>
          <w:shd w:val="clear" w:color="auto" w:fill="FFFFFF"/>
        </w:rPr>
        <w:t>“Căn cứ mức chi quy định tại Khoản 1 Điều này và khả năng ngân sách, mức độ đặc biệt phức tạp hoặc mang tính liên ngành của các TCVN, QCKT; các Bộ, cơ quan Trung ương, Hội đồng nhân dân tỉnh trên cơ sở đề nghị của Ủy ban nhân dân cấp tỉnh quyết định mức chi cụ thể cho phù hợp theo quy định của Luật Ngân sách nhà nước, nhưng không được vượt quá mức chi tối đa quy định tại Thông tư này”</w:t>
      </w:r>
      <w:r w:rsidRPr="009A552B">
        <w:rPr>
          <w:rFonts w:eastAsia="Calibri"/>
          <w:iCs/>
          <w:sz w:val="28"/>
          <w:szCs w:val="28"/>
          <w:shd w:val="clear" w:color="auto" w:fill="FFFFFF"/>
        </w:rPr>
        <w:t>.</w:t>
      </w:r>
    </w:p>
    <w:p w:rsidR="00456229" w:rsidRPr="00456229" w:rsidRDefault="008B7825" w:rsidP="00D97C37">
      <w:pPr>
        <w:pStyle w:val="NormalWeb"/>
        <w:shd w:val="clear" w:color="auto" w:fill="FFFFFF"/>
        <w:spacing w:before="120" w:beforeAutospacing="0" w:after="0" w:afterAutospacing="0"/>
        <w:ind w:firstLine="720"/>
        <w:jc w:val="both"/>
        <w:rPr>
          <w:b/>
          <w:sz w:val="28"/>
          <w:szCs w:val="28"/>
        </w:rPr>
      </w:pPr>
      <w:r>
        <w:rPr>
          <w:b/>
          <w:sz w:val="28"/>
          <w:szCs w:val="28"/>
        </w:rPr>
        <w:t>2.</w:t>
      </w:r>
      <w:r w:rsidR="00EC6001">
        <w:rPr>
          <w:b/>
          <w:sz w:val="28"/>
          <w:szCs w:val="28"/>
        </w:rPr>
        <w:t xml:space="preserve">2 </w:t>
      </w:r>
      <w:r w:rsidR="00456229" w:rsidRPr="00456229">
        <w:rPr>
          <w:b/>
          <w:sz w:val="28"/>
          <w:szCs w:val="28"/>
        </w:rPr>
        <w:t>Cơ sở thực tiễn</w:t>
      </w:r>
    </w:p>
    <w:p w:rsidR="002A65B7" w:rsidRPr="007E0075" w:rsidRDefault="002A65B7" w:rsidP="002A65B7">
      <w:pPr>
        <w:spacing w:before="120"/>
        <w:ind w:firstLine="720"/>
        <w:jc w:val="both"/>
        <w:rPr>
          <w:sz w:val="28"/>
          <w:szCs w:val="28"/>
        </w:rPr>
      </w:pPr>
      <w:r w:rsidRPr="007E0075">
        <w:rPr>
          <w:sz w:val="28"/>
          <w:szCs w:val="28"/>
        </w:rPr>
        <w:t xml:space="preserve">Kể từ khi Luật Tiêu chuẩn và quy chuẩn kỹ thuật có hiệu lực thi hành, hàng năm thực hiện văn bản chỉ đạo của Bộ Khoa học và Công nghệ, Sở Khoa học và Công nghệ tham mưu,triển khai rà soát cung cấp thông tin về QCĐP và kế hoạch xây dựng QCĐP các năm tiếp theo. Đến nay, trên địa bàn tỉnh Bắc Kạn đang thực hiện xây dựng 01 QCĐP do Sở Y tế chủ trì triển khai, thực hiện (Quy </w:t>
      </w:r>
      <w:r w:rsidRPr="007E0075">
        <w:rPr>
          <w:sz w:val="28"/>
          <w:szCs w:val="28"/>
        </w:rPr>
        <w:lastRenderedPageBreak/>
        <w:t>chuẩn kỹ thuật địa phương về chất lượng nước sạch sử dụng cho mục đích sinh hoạt trên địa bàn tỉnh Bắc Kạn).</w:t>
      </w:r>
    </w:p>
    <w:p w:rsidR="002A65B7" w:rsidRPr="00ED42B0" w:rsidRDefault="002A65B7" w:rsidP="002A65B7">
      <w:pPr>
        <w:spacing w:before="120"/>
        <w:ind w:firstLine="720"/>
        <w:jc w:val="both"/>
        <w:rPr>
          <w:spacing w:val="-2"/>
          <w:sz w:val="28"/>
          <w:szCs w:val="28"/>
        </w:rPr>
      </w:pPr>
      <w:r w:rsidRPr="00ED42B0">
        <w:rPr>
          <w:spacing w:val="-2"/>
          <w:sz w:val="28"/>
          <w:szCs w:val="28"/>
        </w:rPr>
        <w:t>Hiện nay các sản phẩm đặc sản của tỉnh Bắc Kạn</w:t>
      </w:r>
      <w:r w:rsidR="002F1B6A">
        <w:rPr>
          <w:spacing w:val="-2"/>
          <w:sz w:val="28"/>
          <w:szCs w:val="28"/>
        </w:rPr>
        <w:t xml:space="preserve"> </w:t>
      </w:r>
      <w:r w:rsidRPr="00ED42B0">
        <w:rPr>
          <w:spacing w:val="-2"/>
          <w:sz w:val="28"/>
          <w:szCs w:val="28"/>
        </w:rPr>
        <w:t>có sản lượng lớn, chất lượng tốt, được thị trường ưa chuộng nhưng chưa được xây dựng quy chuẩn kỹ thuật. Trong đó, có 05 sản phẩm nông nghiệp đặc sản được bảo hộ chỉ dẫn địa lý(Quýt Bắc Kạn, Hồng không hạt Bắc Kạn, Miến dong Bắc Kạn); 03 sản phẩm được bảo hộ về nhãn hiệu tập thể (Gạo Bao thai Chợ Đồn, Gạo Nếp Khẩu Nua Lếch Ngân Sơn, Chè Shan tuyết Bằng Phúc huyện Chợ Đồn); một số sản phẩm khác được thị trường đánh giá tốt, có sản phẩm được xuất khẩu ra nước ngoài như miến dong, rượu... Dự báo các sản phẩm của địa phương dần nâng cao về quy mô sản xuất, phong phú về chủng loại sản phẩm, thị trường ngày càng mở rộng.</w:t>
      </w:r>
    </w:p>
    <w:p w:rsidR="002A65B7" w:rsidRPr="007E0075" w:rsidRDefault="002A65B7" w:rsidP="002A65B7">
      <w:pPr>
        <w:spacing w:before="120"/>
        <w:ind w:firstLine="720"/>
        <w:jc w:val="both"/>
        <w:rPr>
          <w:sz w:val="28"/>
          <w:szCs w:val="28"/>
        </w:rPr>
      </w:pPr>
      <w:r w:rsidRPr="007E0075">
        <w:rPr>
          <w:sz w:val="28"/>
          <w:szCs w:val="28"/>
        </w:rPr>
        <w:t>Bên cạnh những sản phẩm chủ lực của tỉnh, hầu hết các lĩnh vực khác chưa có quy chuẩn kỹ thuật như công nghiệp, chế biến, khai thác,giao thông, xây dựng, môi trường, nông nghiệp, an toàn lao động, dịch vụ…</w:t>
      </w:r>
    </w:p>
    <w:p w:rsidR="002A65B7" w:rsidRPr="007E0075" w:rsidRDefault="002A65B7" w:rsidP="002A65B7">
      <w:pPr>
        <w:pStyle w:val="NormalWeb"/>
        <w:shd w:val="clear" w:color="auto" w:fill="FFFFFF"/>
        <w:spacing w:before="0" w:beforeAutospacing="0" w:after="0" w:afterAutospacing="0"/>
        <w:jc w:val="both"/>
        <w:rPr>
          <w:rFonts w:eastAsia="Calibri"/>
          <w:sz w:val="28"/>
          <w:szCs w:val="28"/>
        </w:rPr>
      </w:pPr>
      <w:r w:rsidRPr="007E0075">
        <w:rPr>
          <w:rFonts w:eastAsia="Calibri"/>
          <w:sz w:val="28"/>
          <w:szCs w:val="28"/>
        </w:rPr>
        <w:tab/>
        <w:t xml:space="preserve">Để từng bước cải thiện </w:t>
      </w:r>
      <w:r w:rsidRPr="007E0075">
        <w:rPr>
          <w:rFonts w:eastAsia="Calibri"/>
          <w:sz w:val="28"/>
          <w:szCs w:val="28"/>
          <w:lang w:val="vi-VN"/>
        </w:rPr>
        <w:t>quy mô, mô hình sản xuất</w:t>
      </w:r>
      <w:r w:rsidRPr="007E0075">
        <w:rPr>
          <w:rFonts w:eastAsia="Calibri"/>
          <w:sz w:val="28"/>
          <w:szCs w:val="28"/>
        </w:rPr>
        <w:t>, năng suất chất lượng</w:t>
      </w:r>
      <w:r w:rsidRPr="007E0075">
        <w:rPr>
          <w:rFonts w:eastAsia="Calibri"/>
          <w:sz w:val="28"/>
          <w:szCs w:val="28"/>
          <w:lang w:val="vi-VN"/>
        </w:rPr>
        <w:t xml:space="preserve"> sản phẩm, hàng hóa đáp ứng được yêu cầu trong cạnh tranh trên thị trường </w:t>
      </w:r>
      <w:r w:rsidRPr="007E0075">
        <w:rPr>
          <w:rFonts w:eastAsia="Calibri"/>
          <w:sz w:val="28"/>
          <w:szCs w:val="28"/>
        </w:rPr>
        <w:t>thì ứ</w:t>
      </w:r>
      <w:r w:rsidRPr="007E0075">
        <w:rPr>
          <w:rFonts w:eastAsia="Calibri"/>
          <w:sz w:val="28"/>
          <w:szCs w:val="28"/>
          <w:lang w:val="vi-VN"/>
        </w:rPr>
        <w:t>ng</w:t>
      </w:r>
      <w:r w:rsidRPr="007E0075">
        <w:rPr>
          <w:rFonts w:eastAsia="Calibri"/>
          <w:sz w:val="28"/>
          <w:szCs w:val="28"/>
          <w:lang w:val="it-IT"/>
        </w:rPr>
        <w:t xml:space="preserve"> dụng </w:t>
      </w:r>
      <w:r w:rsidRPr="007E0075">
        <w:rPr>
          <w:rFonts w:eastAsia="Calibri"/>
          <w:sz w:val="28"/>
          <w:szCs w:val="28"/>
          <w:lang w:val="vi-VN"/>
        </w:rPr>
        <w:t xml:space="preserve">Khoa học </w:t>
      </w:r>
      <w:r w:rsidRPr="007E0075">
        <w:rPr>
          <w:rFonts w:eastAsia="Calibri"/>
          <w:sz w:val="28"/>
          <w:szCs w:val="28"/>
          <w:lang w:val="it-IT"/>
        </w:rPr>
        <w:t xml:space="preserve">và </w:t>
      </w:r>
      <w:r w:rsidRPr="007E0075">
        <w:rPr>
          <w:rFonts w:eastAsia="Calibri"/>
          <w:sz w:val="28"/>
          <w:szCs w:val="28"/>
          <w:lang w:val="vi-VN"/>
        </w:rPr>
        <w:t>công nghệ</w:t>
      </w:r>
      <w:r w:rsidRPr="007E0075">
        <w:rPr>
          <w:rFonts w:eastAsia="Calibri"/>
          <w:sz w:val="28"/>
          <w:szCs w:val="28"/>
          <w:lang w:val="it-IT"/>
        </w:rPr>
        <w:t xml:space="preserve"> và </w:t>
      </w:r>
      <w:r w:rsidRPr="007E0075">
        <w:rPr>
          <w:rFonts w:eastAsia="Calibri"/>
          <w:sz w:val="28"/>
          <w:szCs w:val="28"/>
          <w:lang w:val="vi-VN"/>
        </w:rPr>
        <w:t xml:space="preserve">đổi mới sáng tạo </w:t>
      </w:r>
      <w:r w:rsidRPr="007E0075">
        <w:rPr>
          <w:rFonts w:eastAsia="Calibri"/>
          <w:sz w:val="28"/>
          <w:szCs w:val="28"/>
          <w:lang w:val="it-IT"/>
        </w:rPr>
        <w:t xml:space="preserve">là </w:t>
      </w:r>
      <w:r w:rsidRPr="007E0075">
        <w:rPr>
          <w:rFonts w:eastAsia="Calibri"/>
          <w:sz w:val="28"/>
          <w:szCs w:val="28"/>
          <w:lang w:val="vi-VN"/>
        </w:rPr>
        <w:t>tất yếu</w:t>
      </w:r>
      <w:r w:rsidRPr="007E0075">
        <w:rPr>
          <w:rFonts w:eastAsia="Calibri"/>
          <w:sz w:val="28"/>
          <w:szCs w:val="28"/>
        </w:rPr>
        <w:t>.</w:t>
      </w:r>
      <w:r>
        <w:rPr>
          <w:rFonts w:eastAsia="Calibri"/>
          <w:sz w:val="28"/>
          <w:szCs w:val="28"/>
        </w:rPr>
        <w:t xml:space="preserve"> </w:t>
      </w:r>
      <w:r w:rsidRPr="007E0075">
        <w:rPr>
          <w:rFonts w:eastAsia="Calibri"/>
          <w:sz w:val="28"/>
          <w:szCs w:val="28"/>
          <w:lang w:val="vi-VN"/>
        </w:rPr>
        <w:t xml:space="preserve">Tuy nhiên, </w:t>
      </w:r>
      <w:r w:rsidRPr="007E0075">
        <w:rPr>
          <w:rFonts w:eastAsia="Calibri"/>
          <w:sz w:val="28"/>
          <w:szCs w:val="28"/>
        </w:rPr>
        <w:t xml:space="preserve">cần phải có </w:t>
      </w:r>
      <w:r w:rsidRPr="007E0075">
        <w:rPr>
          <w:sz w:val="28"/>
          <w:szCs w:val="28"/>
        </w:rPr>
        <w:t xml:space="preserve">QCĐP làm công cụ </w:t>
      </w:r>
      <w:r w:rsidRPr="007E0075">
        <w:rPr>
          <w:rFonts w:eastAsia="Calibri"/>
          <w:sz w:val="28"/>
          <w:szCs w:val="28"/>
          <w:lang w:val="vi-VN"/>
        </w:rPr>
        <w:t xml:space="preserve">quản lý đối với các sản phẩm, hàng hoá, dịch vụ, quá trình đặc thù của địa phương và yêu cầu cụ thể về kiểm soát an toàn, môi trường cho phù hợp với đặc điểm địa lý, khí hậu, thủy văn và trình độ phát triển kinh tế - xã hội của </w:t>
      </w:r>
      <w:r w:rsidRPr="007E0075">
        <w:rPr>
          <w:rFonts w:eastAsia="Calibri"/>
          <w:sz w:val="28"/>
          <w:szCs w:val="28"/>
        </w:rPr>
        <w:t>tỉnh Bắc Kạn. Dự kiến đến năm 2030 sẽ xây dựng khoảng 5-8 QCĐP.</w:t>
      </w:r>
    </w:p>
    <w:p w:rsidR="002A65B7" w:rsidRDefault="002A65B7" w:rsidP="002A65B7">
      <w:pPr>
        <w:spacing w:before="120"/>
        <w:ind w:firstLine="720"/>
        <w:jc w:val="both"/>
        <w:rPr>
          <w:sz w:val="28"/>
          <w:szCs w:val="28"/>
        </w:rPr>
      </w:pPr>
      <w:r w:rsidRPr="007E0075">
        <w:rPr>
          <w:sz w:val="28"/>
          <w:szCs w:val="28"/>
        </w:rPr>
        <w:t>Do vậy,</w:t>
      </w:r>
      <w:r>
        <w:rPr>
          <w:sz w:val="28"/>
          <w:szCs w:val="28"/>
        </w:rPr>
        <w:t xml:space="preserve"> </w:t>
      </w:r>
      <w:r w:rsidRPr="007E0075">
        <w:rPr>
          <w:sz w:val="28"/>
          <w:szCs w:val="28"/>
        </w:rPr>
        <w:t>việc ban hành Nghị quyết của Hội đồng nhân dân tỉnh quy định mức chi xây dựng quy chuẩn kỹ thuật địa phương trên địa bàn tỉnh Bắc Kạn đúng quy định của Trung ương, hoàn thiện hệ thống pháp lý; đảm bảo phù hợp với tình hình thực tế của tỉnh Bắc Kạn là cần thiết</w:t>
      </w:r>
      <w:r w:rsidR="002F1B6A">
        <w:rPr>
          <w:sz w:val="28"/>
          <w:szCs w:val="28"/>
        </w:rPr>
        <w:t>.</w:t>
      </w:r>
      <w:bookmarkStart w:id="1" w:name="_GoBack"/>
      <w:bookmarkEnd w:id="1"/>
    </w:p>
    <w:p w:rsidR="003327C5" w:rsidRPr="00A93AFD" w:rsidRDefault="0068544D" w:rsidP="002A65B7">
      <w:pPr>
        <w:spacing w:before="120"/>
        <w:ind w:firstLine="720"/>
        <w:jc w:val="both"/>
        <w:rPr>
          <w:b/>
          <w:spacing w:val="-6"/>
          <w:sz w:val="28"/>
          <w:szCs w:val="28"/>
          <w:lang w:val="nl-NL"/>
        </w:rPr>
      </w:pPr>
      <w:r w:rsidRPr="00A93AFD">
        <w:rPr>
          <w:b/>
          <w:sz w:val="28"/>
          <w:szCs w:val="28"/>
        </w:rPr>
        <w:t>II.</w:t>
      </w:r>
      <w:r w:rsidR="008D2C44" w:rsidRPr="00A93AFD">
        <w:rPr>
          <w:b/>
          <w:sz w:val="28"/>
          <w:szCs w:val="28"/>
        </w:rPr>
        <w:t xml:space="preserve"> </w:t>
      </w:r>
      <w:r w:rsidR="008C5702" w:rsidRPr="00A93AFD">
        <w:rPr>
          <w:b/>
          <w:spacing w:val="-6"/>
          <w:sz w:val="28"/>
          <w:szCs w:val="28"/>
          <w:lang w:val="nl-NL"/>
        </w:rPr>
        <w:t>Nội dung đề xuất HĐND tỉnh thông qua</w:t>
      </w:r>
    </w:p>
    <w:p w:rsidR="00B96F2C" w:rsidRPr="00B87999" w:rsidRDefault="001C1682" w:rsidP="00D97C37">
      <w:pPr>
        <w:spacing w:before="120"/>
        <w:ind w:firstLine="720"/>
        <w:jc w:val="both"/>
        <w:rPr>
          <w:b/>
          <w:sz w:val="28"/>
          <w:szCs w:val="28"/>
          <w:lang w:val="nl-NL"/>
        </w:rPr>
      </w:pPr>
      <w:r w:rsidRPr="00B87999">
        <w:rPr>
          <w:b/>
          <w:sz w:val="28"/>
          <w:szCs w:val="28"/>
          <w:lang w:val="nl-NL"/>
        </w:rPr>
        <w:t>1</w:t>
      </w:r>
      <w:r w:rsidR="00601A80" w:rsidRPr="00B87999">
        <w:rPr>
          <w:b/>
          <w:sz w:val="28"/>
          <w:szCs w:val="28"/>
          <w:lang w:val="nl-NL"/>
        </w:rPr>
        <w:t>.</w:t>
      </w:r>
      <w:r w:rsidR="008C17E4" w:rsidRPr="00B87999">
        <w:rPr>
          <w:b/>
          <w:sz w:val="28"/>
          <w:szCs w:val="28"/>
          <w:lang w:val="nl-NL"/>
        </w:rPr>
        <w:t xml:space="preserve"> Phạm</w:t>
      </w:r>
      <w:r w:rsidR="00FA3D42" w:rsidRPr="00B87999">
        <w:rPr>
          <w:b/>
          <w:sz w:val="28"/>
          <w:szCs w:val="28"/>
          <w:lang w:val="nl-NL"/>
        </w:rPr>
        <w:t xml:space="preserve"> </w:t>
      </w:r>
      <w:r w:rsidR="008C17E4" w:rsidRPr="00B87999">
        <w:rPr>
          <w:b/>
          <w:sz w:val="28"/>
          <w:szCs w:val="28"/>
          <w:lang w:val="nl-NL"/>
        </w:rPr>
        <w:t>v</w:t>
      </w:r>
      <w:r w:rsidR="00015A9E" w:rsidRPr="00B87999">
        <w:rPr>
          <w:b/>
          <w:sz w:val="28"/>
          <w:szCs w:val="28"/>
          <w:lang w:val="nl-NL"/>
        </w:rPr>
        <w:t>i điều chỉnh, đối tượng áp dụng</w:t>
      </w:r>
    </w:p>
    <w:p w:rsidR="000E41FB" w:rsidRPr="005758A4" w:rsidRDefault="001C1682" w:rsidP="00D97C37">
      <w:pPr>
        <w:spacing w:before="120"/>
        <w:ind w:firstLine="720"/>
        <w:jc w:val="both"/>
        <w:rPr>
          <w:b/>
          <w:i/>
          <w:sz w:val="28"/>
          <w:szCs w:val="28"/>
          <w:lang w:val="nl-NL"/>
        </w:rPr>
      </w:pPr>
      <w:r w:rsidRPr="005758A4">
        <w:rPr>
          <w:b/>
          <w:i/>
          <w:sz w:val="28"/>
          <w:szCs w:val="28"/>
          <w:lang w:val="nl-NL"/>
        </w:rPr>
        <w:t>1</w:t>
      </w:r>
      <w:r w:rsidR="009A552A" w:rsidRPr="005758A4">
        <w:rPr>
          <w:b/>
          <w:i/>
          <w:sz w:val="28"/>
          <w:szCs w:val="28"/>
          <w:lang w:val="nl-NL"/>
        </w:rPr>
        <w:t>.1</w:t>
      </w:r>
      <w:r w:rsidR="00A76736" w:rsidRPr="005758A4">
        <w:rPr>
          <w:b/>
          <w:i/>
          <w:sz w:val="28"/>
          <w:szCs w:val="28"/>
          <w:lang w:val="nl-NL"/>
        </w:rPr>
        <w:t xml:space="preserve"> </w:t>
      </w:r>
      <w:r w:rsidR="00601A80" w:rsidRPr="005758A4">
        <w:rPr>
          <w:b/>
          <w:i/>
          <w:sz w:val="28"/>
          <w:szCs w:val="28"/>
          <w:lang w:val="nl-NL"/>
        </w:rPr>
        <w:t>Phạm vi điều chỉnh</w:t>
      </w:r>
    </w:p>
    <w:p w:rsidR="005758A4" w:rsidRPr="005758A4" w:rsidRDefault="005758A4" w:rsidP="00D97C37">
      <w:pPr>
        <w:spacing w:before="120"/>
        <w:ind w:firstLine="720"/>
        <w:jc w:val="both"/>
        <w:rPr>
          <w:iCs/>
          <w:sz w:val="28"/>
          <w:szCs w:val="28"/>
          <w:lang w:val="vi-VN"/>
        </w:rPr>
      </w:pPr>
      <w:r w:rsidRPr="002F1B6A">
        <w:rPr>
          <w:color w:val="000000"/>
          <w:sz w:val="28"/>
          <w:szCs w:val="28"/>
          <w:shd w:val="clear" w:color="auto" w:fill="FFFFFF"/>
          <w:lang w:val="nl-NL"/>
        </w:rPr>
        <w:t>Nghị quyết này quy định mức chi xây dựng quy chuẩn kỹ thuật địa phương (viết tắt là QCĐP) trên địa bàn tỉnh Bắc Kạn.</w:t>
      </w:r>
    </w:p>
    <w:p w:rsidR="005758A4" w:rsidRPr="005758A4" w:rsidRDefault="005758A4" w:rsidP="00D97C37">
      <w:pPr>
        <w:spacing w:before="120"/>
        <w:ind w:firstLine="720"/>
        <w:jc w:val="both"/>
        <w:rPr>
          <w:b/>
          <w:i/>
          <w:iCs/>
          <w:sz w:val="28"/>
          <w:szCs w:val="28"/>
          <w:lang w:val="da-DK"/>
        </w:rPr>
      </w:pPr>
      <w:r w:rsidRPr="002F1B6A">
        <w:rPr>
          <w:b/>
          <w:i/>
          <w:iCs/>
          <w:sz w:val="28"/>
          <w:szCs w:val="28"/>
          <w:lang w:val="vi-VN"/>
        </w:rPr>
        <w:t xml:space="preserve">1.2 </w:t>
      </w:r>
      <w:r w:rsidRPr="005758A4">
        <w:rPr>
          <w:b/>
          <w:i/>
          <w:iCs/>
          <w:sz w:val="28"/>
          <w:szCs w:val="28"/>
          <w:lang w:val="vi-VN"/>
        </w:rPr>
        <w:t xml:space="preserve"> Đối tượng áp dụn</w:t>
      </w:r>
      <w:r w:rsidRPr="005758A4">
        <w:rPr>
          <w:b/>
          <w:i/>
          <w:iCs/>
          <w:sz w:val="28"/>
          <w:szCs w:val="28"/>
          <w:lang w:val="da-DK"/>
        </w:rPr>
        <w:t>g</w:t>
      </w:r>
    </w:p>
    <w:p w:rsidR="008062E2" w:rsidRPr="002F1B6A" w:rsidRDefault="008062E2" w:rsidP="008062E2">
      <w:pPr>
        <w:spacing w:before="120"/>
        <w:ind w:firstLine="720"/>
        <w:jc w:val="both"/>
        <w:rPr>
          <w:sz w:val="28"/>
          <w:szCs w:val="28"/>
          <w:shd w:val="clear" w:color="auto" w:fill="FFFFFF"/>
          <w:lang w:val="vi-VN"/>
        </w:rPr>
      </w:pPr>
      <w:r w:rsidRPr="002F1B6A">
        <w:rPr>
          <w:sz w:val="28"/>
          <w:szCs w:val="28"/>
          <w:shd w:val="clear" w:color="auto" w:fill="FFFFFF"/>
          <w:lang w:val="vi-VN"/>
        </w:rPr>
        <w:t xml:space="preserve">Nghị quyết này áp dụng đối với các cơ quan quản lý nhà nước, các đơn vị sự nghiệp công lập và các tổ chức, cá nhân có liên quan đến hoạt động xây dựng QCĐP theo quy định của Luật Tiêu chuẩn và Quy chuẩn kỹ thuật. </w:t>
      </w:r>
      <w:r w:rsidRPr="002F1B6A">
        <w:rPr>
          <w:sz w:val="28"/>
          <w:szCs w:val="28"/>
          <w:lang w:val="vi-VN"/>
        </w:rPr>
        <w:t>Cơ quan nhà nước khi xây dựng tiêu chuẩn cơ sở để áp dụng trong hoạt động của cơ quan đơn vị mình được áp dụng các mức chi có nội dung chi tương ứng tại Nghị quyết này.</w:t>
      </w:r>
    </w:p>
    <w:p w:rsidR="00605A28" w:rsidRPr="00B87999" w:rsidRDefault="001C1682" w:rsidP="00D97C37">
      <w:pPr>
        <w:spacing w:before="120"/>
        <w:ind w:firstLine="720"/>
        <w:jc w:val="both"/>
        <w:rPr>
          <w:b/>
          <w:sz w:val="28"/>
          <w:szCs w:val="28"/>
          <w:lang w:val="nl-NL"/>
        </w:rPr>
      </w:pPr>
      <w:r w:rsidRPr="00B87999">
        <w:rPr>
          <w:b/>
          <w:sz w:val="28"/>
          <w:szCs w:val="28"/>
          <w:lang w:val="nl-NL"/>
        </w:rPr>
        <w:t>2</w:t>
      </w:r>
      <w:r w:rsidR="00EA5851" w:rsidRPr="00B87999">
        <w:rPr>
          <w:b/>
          <w:sz w:val="28"/>
          <w:szCs w:val="28"/>
          <w:lang w:val="nl-NL"/>
        </w:rPr>
        <w:t>.</w:t>
      </w:r>
      <w:r w:rsidR="00453287" w:rsidRPr="00B87999">
        <w:rPr>
          <w:b/>
          <w:sz w:val="28"/>
          <w:szCs w:val="28"/>
          <w:lang w:val="nl-NL"/>
        </w:rPr>
        <w:t xml:space="preserve"> </w:t>
      </w:r>
      <w:r w:rsidR="005758A4">
        <w:rPr>
          <w:b/>
          <w:sz w:val="28"/>
          <w:szCs w:val="28"/>
          <w:lang w:val="nl-NL"/>
        </w:rPr>
        <w:t>Mức chi xây dựng quy chuẩn kỹ thuật địa phương</w:t>
      </w:r>
    </w:p>
    <w:p w:rsidR="007B2D1E" w:rsidRPr="00B87999" w:rsidRDefault="007B2D1E" w:rsidP="00D97C37">
      <w:pPr>
        <w:spacing w:before="120"/>
        <w:ind w:firstLine="720"/>
        <w:jc w:val="both"/>
        <w:rPr>
          <w:sz w:val="28"/>
          <w:szCs w:val="28"/>
          <w:lang w:val="nl-NL"/>
        </w:rPr>
      </w:pPr>
      <w:r w:rsidRPr="00B87999">
        <w:rPr>
          <w:sz w:val="28"/>
          <w:szCs w:val="28"/>
          <w:lang w:val="nl-NL"/>
        </w:rPr>
        <w:t xml:space="preserve">- Về nội dung quy định mức chi của dự thảo: Áp dụng các nội dung chi tại khoản 1 điều 5 Thông tư 27/2020/TT-BTC. Tuy nhiên, </w:t>
      </w:r>
      <w:r w:rsidR="00A438DD" w:rsidRPr="00B87999">
        <w:rPr>
          <w:sz w:val="28"/>
          <w:szCs w:val="28"/>
          <w:lang w:val="nl-NL"/>
        </w:rPr>
        <w:t>cơ quan</w:t>
      </w:r>
      <w:r w:rsidRPr="00B87999">
        <w:rPr>
          <w:sz w:val="28"/>
          <w:szCs w:val="28"/>
          <w:lang w:val="nl-NL"/>
        </w:rPr>
        <w:t xml:space="preserve"> soạn thảo đề </w:t>
      </w:r>
      <w:r w:rsidRPr="00B87999">
        <w:rPr>
          <w:sz w:val="28"/>
          <w:szCs w:val="28"/>
          <w:lang w:val="nl-NL"/>
        </w:rPr>
        <w:lastRenderedPageBreak/>
        <w:t>xuất không xây dựng nội dung quy định mức chi của điểm h khoản 1 điều 5 thông tư 27/2020/TT-BTC, lý do cấp địa phương không xây dựng Tiêu chuẩn Việt Nam.</w:t>
      </w:r>
    </w:p>
    <w:p w:rsidR="003E7F33" w:rsidRPr="002F1B6A" w:rsidRDefault="00B46CAD" w:rsidP="003E7F33">
      <w:pPr>
        <w:spacing w:before="120"/>
        <w:ind w:firstLine="720"/>
        <w:jc w:val="both"/>
        <w:rPr>
          <w:sz w:val="28"/>
          <w:szCs w:val="28"/>
          <w:lang w:val="nl-NL"/>
        </w:rPr>
      </w:pPr>
      <w:r w:rsidRPr="00B87999">
        <w:rPr>
          <w:sz w:val="28"/>
          <w:szCs w:val="28"/>
          <w:lang w:val="nl-NL"/>
        </w:rPr>
        <w:t>- Với các nội dung chi quy định “</w:t>
      </w:r>
      <w:r w:rsidR="00D263F6" w:rsidRPr="00B87999">
        <w:rPr>
          <w:sz w:val="28"/>
          <w:szCs w:val="28"/>
          <w:lang w:val="nl-NL"/>
        </w:rPr>
        <w:t xml:space="preserve"> </w:t>
      </w:r>
      <w:r w:rsidR="00A438DD" w:rsidRPr="00B87999">
        <w:rPr>
          <w:sz w:val="28"/>
          <w:szCs w:val="28"/>
          <w:lang w:val="nl-NL"/>
        </w:rPr>
        <w:t xml:space="preserve">bằng mức tiền cụ thể ” cơ quan soạn thảo </w:t>
      </w:r>
      <w:r w:rsidRPr="00B87999">
        <w:rPr>
          <w:sz w:val="28"/>
          <w:szCs w:val="28"/>
          <w:lang w:val="nl-NL"/>
        </w:rPr>
        <w:t xml:space="preserve">đề xuất bằng </w:t>
      </w:r>
      <w:r w:rsidR="008276EB" w:rsidRPr="00B87999">
        <w:rPr>
          <w:sz w:val="28"/>
          <w:szCs w:val="28"/>
          <w:lang w:val="nl-NL"/>
        </w:rPr>
        <w:t>7</w:t>
      </w:r>
      <w:r w:rsidRPr="00B87999">
        <w:rPr>
          <w:sz w:val="28"/>
          <w:szCs w:val="28"/>
          <w:lang w:val="nl-NL"/>
        </w:rPr>
        <w:t>0% mức chi quy định tại Thông tư 27/2020/TT-BTC, lý do</w:t>
      </w:r>
      <w:r w:rsidR="00A438DD" w:rsidRPr="00B87999">
        <w:rPr>
          <w:sz w:val="28"/>
          <w:szCs w:val="28"/>
          <w:lang w:val="nl-NL"/>
        </w:rPr>
        <w:t xml:space="preserve"> </w:t>
      </w:r>
      <w:r w:rsidR="00A438DD" w:rsidRPr="00B87999">
        <w:rPr>
          <w:color w:val="000000"/>
          <w:sz w:val="28"/>
          <w:szCs w:val="28"/>
          <w:lang w:val="nl-NL"/>
        </w:rPr>
        <w:t>căn cứ tình hình thực tế của địa phương và khả năng cân đối ngân sách của tỉnh và t</w:t>
      </w:r>
      <w:r w:rsidR="00317BFD" w:rsidRPr="00B87999">
        <w:rPr>
          <w:color w:val="000000"/>
          <w:sz w:val="28"/>
          <w:szCs w:val="28"/>
          <w:lang w:val="nl-NL"/>
        </w:rPr>
        <w:t xml:space="preserve">ỉnh Bắc Kạn là địa phương có tình hình phát triển kinh tế xã hội ở mức </w:t>
      </w:r>
      <w:r w:rsidR="00CA2116" w:rsidRPr="00B87999">
        <w:rPr>
          <w:color w:val="000000"/>
          <w:sz w:val="28"/>
          <w:szCs w:val="28"/>
          <w:lang w:val="nl-NL"/>
        </w:rPr>
        <w:t>trung bình</w:t>
      </w:r>
      <w:r w:rsidR="00317BFD" w:rsidRPr="00B87999">
        <w:rPr>
          <w:color w:val="000000"/>
          <w:sz w:val="28"/>
          <w:szCs w:val="28"/>
          <w:lang w:val="nl-NL"/>
        </w:rPr>
        <w:t xml:space="preserve"> so với các tỉnh khác</w:t>
      </w:r>
      <w:r w:rsidR="00A438DD" w:rsidRPr="00B87999">
        <w:rPr>
          <w:color w:val="000000"/>
          <w:sz w:val="28"/>
          <w:szCs w:val="28"/>
          <w:lang w:val="nl-NL"/>
        </w:rPr>
        <w:t>.</w:t>
      </w:r>
      <w:r w:rsidR="00295ADA">
        <w:rPr>
          <w:color w:val="000000"/>
          <w:sz w:val="28"/>
          <w:szCs w:val="28"/>
          <w:lang w:val="nl-NL"/>
        </w:rPr>
        <w:t xml:space="preserve"> </w:t>
      </w:r>
    </w:p>
    <w:p w:rsidR="00A438DD" w:rsidRPr="00B87999" w:rsidRDefault="007B2D1E" w:rsidP="00D97C37">
      <w:pPr>
        <w:spacing w:before="120"/>
        <w:ind w:firstLine="720"/>
        <w:jc w:val="both"/>
        <w:rPr>
          <w:sz w:val="28"/>
          <w:szCs w:val="28"/>
          <w:lang w:val="nl-NL"/>
        </w:rPr>
      </w:pPr>
      <w:r w:rsidRPr="00B87999">
        <w:rPr>
          <w:sz w:val="28"/>
          <w:szCs w:val="28"/>
          <w:lang w:val="nl-NL"/>
        </w:rPr>
        <w:t>- Với các nội dung quy định “áp dụng định mức theo các văn bản quy phạ</w:t>
      </w:r>
      <w:r w:rsidR="008276EB" w:rsidRPr="00B87999">
        <w:rPr>
          <w:sz w:val="28"/>
          <w:szCs w:val="28"/>
          <w:lang w:val="nl-NL"/>
        </w:rPr>
        <w:t xml:space="preserve">m pháp luật của Trung ương” </w:t>
      </w:r>
      <w:r w:rsidR="00A438DD" w:rsidRPr="00B87999">
        <w:rPr>
          <w:sz w:val="28"/>
          <w:szCs w:val="28"/>
          <w:lang w:val="nl-NL"/>
        </w:rPr>
        <w:t xml:space="preserve">được nêu trong thông tư 27/2020/TT-BTC thì cơ quan soạn thảo đề xuất áp dụng mức chi đã được cụ thể hóa tại các văn </w:t>
      </w:r>
      <w:r w:rsidR="008276EB" w:rsidRPr="00B87999">
        <w:rPr>
          <w:sz w:val="28"/>
          <w:szCs w:val="28"/>
          <w:lang w:val="nl-NL"/>
        </w:rPr>
        <w:t xml:space="preserve">bản </w:t>
      </w:r>
      <w:r w:rsidR="00A438DD" w:rsidRPr="00B87999">
        <w:rPr>
          <w:sz w:val="28"/>
          <w:szCs w:val="28"/>
          <w:lang w:val="nl-NL"/>
        </w:rPr>
        <w:t xml:space="preserve">của địa phương. </w:t>
      </w:r>
    </w:p>
    <w:p w:rsidR="00A438DD" w:rsidRPr="00B87999" w:rsidRDefault="00A438DD" w:rsidP="00D97C37">
      <w:pPr>
        <w:spacing w:before="120"/>
        <w:ind w:firstLine="720"/>
        <w:jc w:val="both"/>
        <w:rPr>
          <w:sz w:val="28"/>
          <w:szCs w:val="28"/>
          <w:lang w:val="nl-NL"/>
        </w:rPr>
      </w:pPr>
      <w:r w:rsidRPr="00B87999">
        <w:rPr>
          <w:sz w:val="28"/>
          <w:szCs w:val="28"/>
          <w:lang w:val="nl-NL"/>
        </w:rPr>
        <w:t xml:space="preserve">- Với các nội dung quy định “chi thuê mà không có văn bản cụ thể </w:t>
      </w:r>
      <w:r w:rsidR="008276EB" w:rsidRPr="00B87999">
        <w:rPr>
          <w:sz w:val="28"/>
          <w:szCs w:val="28"/>
          <w:lang w:val="nl-NL"/>
        </w:rPr>
        <w:t xml:space="preserve">để tham chiếu” </w:t>
      </w:r>
      <w:r w:rsidRPr="00B87999">
        <w:rPr>
          <w:sz w:val="28"/>
          <w:szCs w:val="28"/>
          <w:lang w:val="nl-NL"/>
        </w:rPr>
        <w:t>thì cơ quan soạn thảo đề xuất áp dụng mức chi quy định tại Thông tư 27/2020/TT-BTC.</w:t>
      </w:r>
    </w:p>
    <w:p w:rsidR="007B2D1E" w:rsidRPr="00B87999" w:rsidRDefault="003B314F" w:rsidP="00D97C37">
      <w:pPr>
        <w:spacing w:before="120"/>
        <w:ind w:firstLine="720"/>
        <w:jc w:val="center"/>
        <w:rPr>
          <w:i/>
          <w:sz w:val="28"/>
          <w:szCs w:val="28"/>
          <w:lang w:val="nl-NL"/>
        </w:rPr>
      </w:pPr>
      <w:r w:rsidRPr="00B87999">
        <w:rPr>
          <w:i/>
          <w:sz w:val="28"/>
          <w:szCs w:val="28"/>
          <w:lang w:val="nl-NL"/>
        </w:rPr>
        <w:t>(Có biểu tổng hợp chi tiết kèm theo)</w:t>
      </w:r>
    </w:p>
    <w:p w:rsidR="00426D8C" w:rsidRPr="002F1B6A" w:rsidRDefault="00634DF5" w:rsidP="00D97C37">
      <w:pPr>
        <w:pStyle w:val="NormalWeb"/>
        <w:shd w:val="clear" w:color="auto" w:fill="FFFFFF"/>
        <w:spacing w:before="120" w:beforeAutospacing="0" w:after="120" w:afterAutospacing="0"/>
        <w:ind w:firstLine="720"/>
        <w:jc w:val="both"/>
        <w:rPr>
          <w:b/>
          <w:sz w:val="28"/>
          <w:szCs w:val="28"/>
          <w:shd w:val="clear" w:color="auto" w:fill="FFFFFF"/>
          <w:lang w:val="nl-NL"/>
        </w:rPr>
      </w:pPr>
      <w:r w:rsidRPr="002F1B6A">
        <w:rPr>
          <w:b/>
          <w:sz w:val="28"/>
          <w:szCs w:val="28"/>
          <w:shd w:val="clear" w:color="auto" w:fill="FFFFFF"/>
          <w:lang w:val="nl-NL"/>
        </w:rPr>
        <w:t>II</w:t>
      </w:r>
      <w:r w:rsidR="00384B43" w:rsidRPr="002F1B6A">
        <w:rPr>
          <w:b/>
          <w:sz w:val="28"/>
          <w:szCs w:val="28"/>
          <w:shd w:val="clear" w:color="auto" w:fill="FFFFFF"/>
          <w:lang w:val="nl-NL"/>
        </w:rPr>
        <w:t>I</w:t>
      </w:r>
      <w:r w:rsidR="00426D8C" w:rsidRPr="002F1B6A">
        <w:rPr>
          <w:b/>
          <w:sz w:val="28"/>
          <w:szCs w:val="28"/>
          <w:shd w:val="clear" w:color="auto" w:fill="FFFFFF"/>
          <w:lang w:val="nl-NL"/>
        </w:rPr>
        <w:t xml:space="preserve">. </w:t>
      </w:r>
      <w:r w:rsidR="00BC7805" w:rsidRPr="002F1B6A">
        <w:rPr>
          <w:b/>
          <w:sz w:val="28"/>
          <w:szCs w:val="28"/>
          <w:shd w:val="clear" w:color="auto" w:fill="FFFFFF"/>
          <w:lang w:val="nl-NL"/>
        </w:rPr>
        <w:t>D</w:t>
      </w:r>
      <w:r w:rsidR="009C505C" w:rsidRPr="002F1B6A">
        <w:rPr>
          <w:b/>
          <w:sz w:val="28"/>
          <w:szCs w:val="28"/>
          <w:shd w:val="clear" w:color="auto" w:fill="FFFFFF"/>
          <w:lang w:val="nl-NL"/>
        </w:rPr>
        <w:t xml:space="preserve">ự kiến kinh phí thực hiện </w:t>
      </w:r>
    </w:p>
    <w:p w:rsidR="00923468" w:rsidRPr="002F1B6A" w:rsidRDefault="00923468" w:rsidP="00D97C37">
      <w:pPr>
        <w:spacing w:before="120"/>
        <w:ind w:firstLine="720"/>
        <w:jc w:val="both"/>
        <w:rPr>
          <w:sz w:val="28"/>
          <w:szCs w:val="28"/>
          <w:lang w:val="nl-NL"/>
        </w:rPr>
      </w:pPr>
      <w:r w:rsidRPr="002F1B6A">
        <w:rPr>
          <w:sz w:val="28"/>
          <w:szCs w:val="28"/>
          <w:lang w:val="nl-NL"/>
        </w:rPr>
        <w:t xml:space="preserve">a) </w:t>
      </w:r>
      <w:r w:rsidR="002303C6" w:rsidRPr="002F1B6A">
        <w:rPr>
          <w:sz w:val="28"/>
          <w:szCs w:val="28"/>
          <w:lang w:val="nl-NL"/>
        </w:rPr>
        <w:t xml:space="preserve">Kinh phí thực hiện hoạt động xây dựng quy chuẩn kỹ thuật địa phương </w:t>
      </w:r>
      <w:r w:rsidR="005758A4" w:rsidRPr="002F1B6A">
        <w:rPr>
          <w:sz w:val="28"/>
          <w:szCs w:val="28"/>
          <w:lang w:val="nl-NL"/>
        </w:rPr>
        <w:t>từ nguồn ngân sách nhà nước bố trí trong dự toán chi thường xuyên hàng năm của địa</w:t>
      </w:r>
      <w:r w:rsidR="0028739D" w:rsidRPr="002F1B6A">
        <w:rPr>
          <w:sz w:val="28"/>
          <w:szCs w:val="28"/>
          <w:lang w:val="nl-NL"/>
        </w:rPr>
        <w:t xml:space="preserve"> phương theo phân cấp hiện hành (của các cơ quan đơn vị)</w:t>
      </w:r>
    </w:p>
    <w:p w:rsidR="00923468" w:rsidRPr="00A93AFD" w:rsidRDefault="00923468" w:rsidP="00D97C37">
      <w:pPr>
        <w:spacing w:before="120"/>
        <w:ind w:firstLine="720"/>
        <w:jc w:val="both"/>
        <w:rPr>
          <w:sz w:val="28"/>
          <w:szCs w:val="28"/>
          <w:lang w:val="es-BO"/>
        </w:rPr>
      </w:pPr>
      <w:r w:rsidRPr="00A93AFD">
        <w:rPr>
          <w:sz w:val="28"/>
          <w:szCs w:val="28"/>
          <w:lang w:val="es-BO"/>
        </w:rPr>
        <w:t>Kinh phí xây dựng QCĐP phụ thuộc vào quy mô, mức độ phức tạp, đặc trưng kỹ thuật, các quy định kiểm soát về an toàn, môi trường cho phù hợp với đặc điểm địa lý, khí hậu, thủy văn và trình độ phát triển kinh tế - xã hội của địa phương đối với từng đối tượng xây dựng QCĐP. Kể từ khi Luật Tiêu chuẩn và quy chuẩn kỹ thuật có hiệu lực thi hành tới nay, trên địa bàn tỉnh Bắc Kạn mới đang thực hiện xây dựng 01 QCĐP do Sở Y tế chủ trì tham mưu triển khai, thực hiện</w:t>
      </w:r>
      <w:r w:rsidR="00B371E2">
        <w:rPr>
          <w:sz w:val="28"/>
          <w:szCs w:val="28"/>
          <w:lang w:val="es-BO"/>
        </w:rPr>
        <w:t xml:space="preserve"> </w:t>
      </w:r>
      <w:r w:rsidR="00632749" w:rsidRPr="00B87999">
        <w:rPr>
          <w:rFonts w:eastAsia="Calibri"/>
          <w:i/>
          <w:iCs/>
          <w:sz w:val="28"/>
          <w:szCs w:val="28"/>
          <w:shd w:val="clear" w:color="auto" w:fill="FFFFFF"/>
          <w:lang w:val="es-BO"/>
        </w:rPr>
        <w:t>(</w:t>
      </w:r>
      <w:r w:rsidR="00632749" w:rsidRPr="00632749">
        <w:rPr>
          <w:i/>
          <w:spacing w:val="-2"/>
          <w:sz w:val="28"/>
          <w:szCs w:val="28"/>
          <w:lang w:val="pt-BR"/>
        </w:rPr>
        <w:t>Quy chuẩn kỹ thuật địa phương về chất lượng nước sạch sử dụng cho mục đích sinh hoạt trên địa bàn tỉnh Bắc Kạn</w:t>
      </w:r>
      <w:r w:rsidR="00632749">
        <w:rPr>
          <w:i/>
          <w:spacing w:val="-2"/>
          <w:sz w:val="28"/>
          <w:szCs w:val="28"/>
          <w:lang w:val="pt-BR"/>
        </w:rPr>
        <w:t>)</w:t>
      </w:r>
      <w:r w:rsidRPr="00A93AFD">
        <w:rPr>
          <w:sz w:val="28"/>
          <w:szCs w:val="28"/>
          <w:lang w:val="es-BO"/>
        </w:rPr>
        <w:t>. Nên việc dự kiến nguồn kinh phí cho xây dựng QCĐP, nhất là nội dung chi trực tiếp cho việc xây dựng QCĐP gặp khó khăn, không đảm bảo chính xác, do thiếu cơ sở thực tiễn.</w:t>
      </w:r>
    </w:p>
    <w:p w:rsidR="00784A0B" w:rsidRDefault="00923468" w:rsidP="00D97C37">
      <w:pPr>
        <w:spacing w:before="120"/>
        <w:ind w:firstLine="720"/>
        <w:jc w:val="both"/>
        <w:rPr>
          <w:sz w:val="28"/>
          <w:szCs w:val="28"/>
          <w:lang w:val="es-BO"/>
        </w:rPr>
      </w:pPr>
      <w:r w:rsidRPr="00A7202C">
        <w:rPr>
          <w:sz w:val="28"/>
          <w:szCs w:val="28"/>
          <w:lang w:val="es-BO"/>
        </w:rPr>
        <w:t xml:space="preserve">Dự kiến </w:t>
      </w:r>
      <w:r w:rsidR="00A438DD" w:rsidRPr="00A7202C">
        <w:rPr>
          <w:sz w:val="28"/>
          <w:szCs w:val="28"/>
          <w:lang w:val="es-BO"/>
        </w:rPr>
        <w:t>từ nay đến 2030 có 0</w:t>
      </w:r>
      <w:r w:rsidR="005235E9">
        <w:rPr>
          <w:sz w:val="28"/>
          <w:szCs w:val="28"/>
          <w:lang w:val="es-BO"/>
        </w:rPr>
        <w:t>5</w:t>
      </w:r>
      <w:r w:rsidR="000C3D75" w:rsidRPr="00A7202C">
        <w:rPr>
          <w:sz w:val="28"/>
          <w:szCs w:val="28"/>
          <w:lang w:val="es-BO"/>
        </w:rPr>
        <w:t xml:space="preserve"> đến </w:t>
      </w:r>
      <w:r w:rsidR="00A438DD" w:rsidRPr="00A7202C">
        <w:rPr>
          <w:sz w:val="28"/>
          <w:szCs w:val="28"/>
          <w:lang w:val="es-BO"/>
        </w:rPr>
        <w:t>0</w:t>
      </w:r>
      <w:r w:rsidR="005235E9">
        <w:rPr>
          <w:sz w:val="28"/>
          <w:szCs w:val="28"/>
          <w:lang w:val="es-BO"/>
        </w:rPr>
        <w:t>8</w:t>
      </w:r>
      <w:r w:rsidRPr="00A7202C">
        <w:rPr>
          <w:sz w:val="28"/>
          <w:szCs w:val="28"/>
          <w:lang w:val="es-BO"/>
        </w:rPr>
        <w:t xml:space="preserve"> nhu cầu đề nghị xây dựng QCĐP</w:t>
      </w:r>
      <w:r w:rsidR="00C45558" w:rsidRPr="00A7202C">
        <w:rPr>
          <w:sz w:val="28"/>
          <w:szCs w:val="28"/>
          <w:lang w:val="es-BO"/>
        </w:rPr>
        <w:t>.</w:t>
      </w:r>
      <w:r w:rsidR="00236DA6" w:rsidRPr="00A7202C">
        <w:rPr>
          <w:sz w:val="28"/>
          <w:szCs w:val="28"/>
          <w:lang w:val="es-BO"/>
        </w:rPr>
        <w:t xml:space="preserve"> </w:t>
      </w:r>
      <w:r w:rsidR="00C45558" w:rsidRPr="00A7202C">
        <w:rPr>
          <w:sz w:val="28"/>
          <w:szCs w:val="28"/>
          <w:lang w:val="es-BO"/>
        </w:rPr>
        <w:t xml:space="preserve">Hiện nay, Sở Khoa học và Công nghệ đang phối hợp với Sở Y tế triển khai xây dựng quy chuẩn kỹ  thuật địa phương </w:t>
      </w:r>
      <w:r w:rsidR="00C45558" w:rsidRPr="00A7202C">
        <w:rPr>
          <w:spacing w:val="-2"/>
          <w:sz w:val="28"/>
          <w:szCs w:val="28"/>
          <w:lang w:val="pt-BR"/>
        </w:rPr>
        <w:t>về chất lượng nước sạch sử dụng cho mục đích sinh hoạt trên địa bàn tỉnh Bắc Kạn</w:t>
      </w:r>
      <w:r w:rsidR="00C45558" w:rsidRPr="00A7202C">
        <w:rPr>
          <w:sz w:val="28"/>
          <w:szCs w:val="28"/>
          <w:lang w:val="es-BO"/>
        </w:rPr>
        <w:t>, đến nay, đã hoàn thiện bước thẩm tra hồ sơ dự thảo quy chuẩn kỹ thuật</w:t>
      </w:r>
      <w:r w:rsidR="002754CB" w:rsidRPr="00A7202C">
        <w:rPr>
          <w:sz w:val="28"/>
          <w:szCs w:val="28"/>
          <w:lang w:val="es-BO"/>
        </w:rPr>
        <w:t>, dự kiến theo kế hoạch đến quý IV năm</w:t>
      </w:r>
      <w:r w:rsidR="005E556A">
        <w:rPr>
          <w:sz w:val="28"/>
          <w:szCs w:val="28"/>
          <w:lang w:val="es-BO"/>
        </w:rPr>
        <w:t xml:space="preserve"> </w:t>
      </w:r>
      <w:r w:rsidR="00236DA6" w:rsidRPr="00A7202C">
        <w:rPr>
          <w:sz w:val="28"/>
          <w:szCs w:val="28"/>
          <w:lang w:val="es-BO"/>
        </w:rPr>
        <w:t xml:space="preserve">2022 </w:t>
      </w:r>
      <w:r w:rsidR="002754CB" w:rsidRPr="00A7202C">
        <w:rPr>
          <w:sz w:val="28"/>
          <w:szCs w:val="28"/>
          <w:lang w:val="es-BO"/>
        </w:rPr>
        <w:t xml:space="preserve"> ban hành Quy chuẩn kỹ thuật địa phương. Qua tham khảo dự toán xây dựng QCĐP của Sở Y tế cho thấy  dự kiến mức chi xây dựng QCĐP khoảng hơn 1,0 tỷ đồng/ QCĐP ngân sách địa phương có thể đáp ứng được</w:t>
      </w:r>
      <w:r w:rsidRPr="00A93AFD">
        <w:rPr>
          <w:sz w:val="28"/>
          <w:szCs w:val="28"/>
          <w:lang w:val="es-BO"/>
        </w:rPr>
        <w:t>, dự kiến như sau</w:t>
      </w:r>
      <w:r w:rsidR="00FA6F77">
        <w:rPr>
          <w:sz w:val="28"/>
          <w:szCs w:val="28"/>
          <w:lang w:val="es-BO"/>
        </w:rPr>
        <w:t xml:space="preserve"> </w:t>
      </w:r>
    </w:p>
    <w:p w:rsidR="00923468" w:rsidRPr="00A93AFD" w:rsidRDefault="00FA6F77" w:rsidP="00784A0B">
      <w:pPr>
        <w:spacing w:before="120"/>
        <w:ind w:firstLine="720"/>
        <w:jc w:val="center"/>
        <w:rPr>
          <w:sz w:val="28"/>
          <w:szCs w:val="28"/>
          <w:lang w:val="es-BO"/>
        </w:rPr>
      </w:pPr>
      <w:r w:rsidRPr="00FA6F77">
        <w:rPr>
          <w:i/>
          <w:sz w:val="28"/>
          <w:szCs w:val="28"/>
          <w:lang w:val="es-BO"/>
        </w:rPr>
        <w:t>(có biểu dự toán xây dựng QCĐP kèm theo)</w:t>
      </w:r>
      <w:r>
        <w:rPr>
          <w:i/>
          <w:sz w:val="28"/>
          <w:szCs w:val="28"/>
          <w:lang w:val="es-BO"/>
        </w:rPr>
        <w:t>:</w:t>
      </w:r>
    </w:p>
    <w:p w:rsidR="00923468" w:rsidRPr="00A93AFD" w:rsidRDefault="00923468" w:rsidP="00D97C37">
      <w:pPr>
        <w:spacing w:before="120"/>
        <w:ind w:firstLine="720"/>
        <w:jc w:val="both"/>
        <w:rPr>
          <w:sz w:val="28"/>
          <w:szCs w:val="28"/>
          <w:lang w:val="es-BO"/>
        </w:rPr>
      </w:pPr>
      <w:r w:rsidRPr="00A93AFD">
        <w:rPr>
          <w:sz w:val="28"/>
          <w:szCs w:val="28"/>
          <w:lang w:val="es-BO"/>
        </w:rPr>
        <w:t>+ Chi công lao động thuê ngoài đối với các cán bộ, chuyên gia trực tiếp tham gia xây dựng dự thảo QCĐP;</w:t>
      </w:r>
    </w:p>
    <w:p w:rsidR="00E37000" w:rsidRPr="00A93AFD" w:rsidRDefault="00923468" w:rsidP="00D97C37">
      <w:pPr>
        <w:spacing w:before="120"/>
        <w:ind w:firstLine="720"/>
        <w:jc w:val="both"/>
        <w:rPr>
          <w:sz w:val="28"/>
          <w:szCs w:val="28"/>
          <w:lang w:val="es-BO"/>
        </w:rPr>
      </w:pPr>
      <w:r w:rsidRPr="00A93AFD">
        <w:rPr>
          <w:sz w:val="28"/>
          <w:szCs w:val="28"/>
          <w:lang w:val="es-BO"/>
        </w:rPr>
        <w:lastRenderedPageBreak/>
        <w:t>+ Chi công tác nghiên cứu, đánh giá thực trạng, nghiên cứu tài liệu kỹ thuật, phân tích kết quả điều tra, khảo sát, thử nghiệm, khảo nghiệm phục vụ cho việc xây dựng dự thảo QCĐP;</w:t>
      </w:r>
    </w:p>
    <w:p w:rsidR="00E61487" w:rsidRPr="00A93AFD" w:rsidRDefault="00923468" w:rsidP="00D97C37">
      <w:pPr>
        <w:spacing w:before="120"/>
        <w:ind w:firstLine="720"/>
        <w:jc w:val="both"/>
        <w:rPr>
          <w:sz w:val="28"/>
          <w:szCs w:val="28"/>
          <w:lang w:val="es-BO"/>
        </w:rPr>
      </w:pPr>
      <w:r w:rsidRPr="00A93AFD">
        <w:rPr>
          <w:sz w:val="28"/>
          <w:szCs w:val="28"/>
          <w:lang w:val="es-BO"/>
        </w:rPr>
        <w:t>+ Chi thuê chuyên gia trong nước và nước ngoài phục vụ công tác xây dựng QCĐP (nếu có);</w:t>
      </w:r>
    </w:p>
    <w:p w:rsidR="00E61487" w:rsidRPr="00A93AFD" w:rsidRDefault="00923468" w:rsidP="00D97C37">
      <w:pPr>
        <w:spacing w:before="120"/>
        <w:ind w:firstLine="720"/>
        <w:jc w:val="both"/>
        <w:rPr>
          <w:sz w:val="28"/>
          <w:szCs w:val="28"/>
          <w:lang w:val="es-BO"/>
        </w:rPr>
      </w:pPr>
      <w:r w:rsidRPr="00A93AFD">
        <w:rPr>
          <w:sz w:val="28"/>
          <w:szCs w:val="28"/>
          <w:lang w:val="es-BO"/>
        </w:rPr>
        <w:t>+ Chi lấy ý kiến nhận xét của các chuyên gia, nhà khoa học đối với dự thảo QCĐP;</w:t>
      </w:r>
    </w:p>
    <w:p w:rsidR="00E61487" w:rsidRPr="00A93AFD" w:rsidRDefault="00923468" w:rsidP="00D97C37">
      <w:pPr>
        <w:spacing w:before="120"/>
        <w:ind w:firstLine="720"/>
        <w:jc w:val="both"/>
        <w:rPr>
          <w:sz w:val="28"/>
          <w:szCs w:val="28"/>
          <w:lang w:val="es-BO"/>
        </w:rPr>
      </w:pPr>
      <w:r w:rsidRPr="00A93AFD">
        <w:rPr>
          <w:sz w:val="28"/>
          <w:szCs w:val="28"/>
          <w:lang w:val="es-BO"/>
        </w:rPr>
        <w:t>+ Chi mua vật tư, văn phòng phẩm, nguyên, nhiên vật liệu, tiêu chuẩn, quy trình, tài liệu kỹ thuật, bí quyết công nghệ phục vụ cho việc xây dựng dự thảo QCĐP;</w:t>
      </w:r>
    </w:p>
    <w:p w:rsidR="00D97C37" w:rsidRDefault="00923468" w:rsidP="00D97C37">
      <w:pPr>
        <w:spacing w:before="120"/>
        <w:ind w:firstLine="720"/>
        <w:jc w:val="both"/>
        <w:rPr>
          <w:sz w:val="28"/>
          <w:szCs w:val="28"/>
          <w:lang w:val="es-BO"/>
        </w:rPr>
      </w:pPr>
      <w:r w:rsidRPr="00A93AFD">
        <w:rPr>
          <w:sz w:val="28"/>
          <w:szCs w:val="28"/>
          <w:lang w:val="es-BO"/>
        </w:rPr>
        <w:t>+ Chi tổ chức hội nghị chuyên đề, hội thảo khoa học về dự thảo QCĐP;</w:t>
      </w:r>
      <w:r w:rsidRPr="00A93AFD">
        <w:rPr>
          <w:sz w:val="28"/>
          <w:szCs w:val="28"/>
          <w:lang w:val="es-BO"/>
        </w:rPr>
        <w:tab/>
      </w:r>
    </w:p>
    <w:p w:rsidR="00E61487" w:rsidRPr="00A93AFD" w:rsidRDefault="00923468" w:rsidP="00D97C37">
      <w:pPr>
        <w:spacing w:before="120"/>
        <w:ind w:firstLine="720"/>
        <w:jc w:val="both"/>
        <w:rPr>
          <w:sz w:val="28"/>
          <w:szCs w:val="28"/>
          <w:lang w:val="es-BO"/>
        </w:rPr>
      </w:pPr>
      <w:r w:rsidRPr="00A93AFD">
        <w:rPr>
          <w:sz w:val="28"/>
          <w:szCs w:val="28"/>
          <w:lang w:val="es-BO"/>
        </w:rPr>
        <w:t xml:space="preserve">+ Chi dịch và hiệu đính tài liệu từ tiếng nước ngoài sang tiếng Việt và </w:t>
      </w:r>
      <w:r w:rsidR="00E61487" w:rsidRPr="00A93AFD">
        <w:rPr>
          <w:sz w:val="28"/>
          <w:szCs w:val="28"/>
          <w:lang w:val="es-BO"/>
        </w:rPr>
        <w:t>dịch QCĐP sang tiếng nước ngoài;</w:t>
      </w:r>
    </w:p>
    <w:p w:rsidR="00E61487" w:rsidRPr="00A93AFD" w:rsidRDefault="00923468" w:rsidP="00D97C37">
      <w:pPr>
        <w:spacing w:before="120"/>
        <w:ind w:firstLine="720"/>
        <w:jc w:val="both"/>
        <w:rPr>
          <w:sz w:val="28"/>
          <w:szCs w:val="28"/>
          <w:lang w:val="es-BO"/>
        </w:rPr>
      </w:pPr>
      <w:r w:rsidRPr="00A93AFD">
        <w:rPr>
          <w:sz w:val="28"/>
          <w:szCs w:val="28"/>
          <w:lang w:val="es-BO"/>
        </w:rPr>
        <w:t>+ Chi thực hiện các hoạt động khảo sát, điều tra phục vụ công tác xây dựng dự thảo QCĐP;</w:t>
      </w:r>
    </w:p>
    <w:p w:rsidR="00923468" w:rsidRPr="00A93AFD" w:rsidRDefault="00923468" w:rsidP="00D97C37">
      <w:pPr>
        <w:spacing w:before="120"/>
        <w:ind w:firstLine="720"/>
        <w:jc w:val="both"/>
        <w:rPr>
          <w:sz w:val="28"/>
          <w:szCs w:val="28"/>
          <w:lang w:val="es-BO"/>
        </w:rPr>
      </w:pPr>
      <w:r w:rsidRPr="00A93AFD">
        <w:rPr>
          <w:sz w:val="28"/>
          <w:szCs w:val="28"/>
          <w:lang w:val="es-BO"/>
        </w:rPr>
        <w:t>+ Chi mua mẫu, thử nghiệm, khảo nghiệm trong nước, ngoài nước về các nội dung của dự thảo QCĐP (nếu có);</w:t>
      </w:r>
    </w:p>
    <w:p w:rsidR="00923468" w:rsidRPr="00A93AFD" w:rsidRDefault="00923468" w:rsidP="00D97C37">
      <w:pPr>
        <w:keepNext/>
        <w:widowControl w:val="0"/>
        <w:tabs>
          <w:tab w:val="right" w:leader="dot" w:pos="8640"/>
        </w:tabs>
        <w:spacing w:before="120" w:after="120"/>
        <w:ind w:firstLine="720"/>
        <w:jc w:val="both"/>
        <w:rPr>
          <w:sz w:val="28"/>
          <w:szCs w:val="28"/>
          <w:lang w:val="es-BO"/>
        </w:rPr>
      </w:pPr>
      <w:r w:rsidRPr="00A93AFD">
        <w:rPr>
          <w:sz w:val="28"/>
          <w:szCs w:val="28"/>
          <w:lang w:val="es-BO"/>
        </w:rPr>
        <w:t>+ Chi họp Hội đồng thẩm tra dự thảo QCĐP;</w:t>
      </w:r>
    </w:p>
    <w:p w:rsidR="00923468" w:rsidRPr="00A93AFD" w:rsidRDefault="00923468" w:rsidP="00D97C37">
      <w:pPr>
        <w:keepNext/>
        <w:widowControl w:val="0"/>
        <w:tabs>
          <w:tab w:val="right" w:leader="dot" w:pos="8640"/>
        </w:tabs>
        <w:spacing w:before="120" w:after="120"/>
        <w:ind w:firstLine="720"/>
        <w:jc w:val="both"/>
        <w:rPr>
          <w:sz w:val="28"/>
          <w:szCs w:val="28"/>
          <w:lang w:val="es-BO"/>
        </w:rPr>
      </w:pPr>
      <w:r w:rsidRPr="00A93AFD">
        <w:rPr>
          <w:sz w:val="28"/>
          <w:szCs w:val="28"/>
          <w:lang w:val="es-BO"/>
        </w:rPr>
        <w:t>+ Chi nhận xét đánh giá phản biện hoặc thẩm tra của thành viên Hội đồng thẩm tra về dự thảo QCĐP;</w:t>
      </w:r>
    </w:p>
    <w:p w:rsidR="00923468" w:rsidRPr="00A93AFD" w:rsidRDefault="00923468" w:rsidP="00D97C37">
      <w:pPr>
        <w:keepNext/>
        <w:widowControl w:val="0"/>
        <w:tabs>
          <w:tab w:val="right" w:leader="dot" w:pos="8640"/>
        </w:tabs>
        <w:spacing w:before="120" w:after="120"/>
        <w:ind w:firstLine="720"/>
        <w:jc w:val="both"/>
        <w:rPr>
          <w:sz w:val="28"/>
          <w:szCs w:val="28"/>
          <w:lang w:val="es-BO"/>
        </w:rPr>
      </w:pPr>
      <w:r w:rsidRPr="00A93AFD">
        <w:rPr>
          <w:sz w:val="28"/>
          <w:szCs w:val="28"/>
          <w:lang w:val="es-BO"/>
        </w:rPr>
        <w:t>+ Các khoản chi văn phòng phẩm, chi phí in ấn, phô tô tài liệu liên quan đến việc thực hiện công tác quản lý của cơ quan có thẩm quyền quản lý hoạt động xây dựng QCĐP.</w:t>
      </w:r>
    </w:p>
    <w:p w:rsidR="00593CEB" w:rsidRPr="002F1B6A" w:rsidRDefault="00593CEB" w:rsidP="00593CEB">
      <w:pPr>
        <w:pStyle w:val="BodyText32"/>
        <w:spacing w:before="120"/>
        <w:ind w:firstLine="720"/>
        <w:jc w:val="both"/>
        <w:rPr>
          <w:sz w:val="28"/>
          <w:szCs w:val="28"/>
          <w:lang w:val="es-BO"/>
        </w:rPr>
      </w:pPr>
      <w:r w:rsidRPr="002F1B6A">
        <w:rPr>
          <w:sz w:val="28"/>
          <w:szCs w:val="28"/>
          <w:lang w:val="es-BO"/>
        </w:rPr>
        <w:t>b.  Nguồn tài trợ, hỗ trợ của các tổ chức cá nhân khác.</w:t>
      </w:r>
    </w:p>
    <w:p w:rsidR="00593CEB" w:rsidRPr="00593CEB" w:rsidRDefault="00593CEB" w:rsidP="00593CEB">
      <w:pPr>
        <w:shd w:val="clear" w:color="auto" w:fill="FFFFFF"/>
        <w:spacing w:before="120"/>
        <w:ind w:firstLine="720"/>
        <w:jc w:val="both"/>
        <w:rPr>
          <w:sz w:val="28"/>
          <w:szCs w:val="28"/>
          <w:lang w:val="vi-VN"/>
        </w:rPr>
      </w:pPr>
      <w:r w:rsidRPr="002F1B6A">
        <w:rPr>
          <w:sz w:val="28"/>
          <w:szCs w:val="28"/>
          <w:lang w:val="es-BO"/>
        </w:rPr>
        <w:t xml:space="preserve">c. </w:t>
      </w:r>
      <w:r w:rsidRPr="00593CEB">
        <w:rPr>
          <w:sz w:val="28"/>
          <w:szCs w:val="28"/>
          <w:lang w:val="es-BO"/>
        </w:rPr>
        <w:t>Các nguồn kinh phí khác theo quy định pháp luật.</w:t>
      </w:r>
    </w:p>
    <w:p w:rsidR="00923468" w:rsidRDefault="00923468" w:rsidP="00D97C37">
      <w:pPr>
        <w:spacing w:before="120"/>
        <w:ind w:firstLine="720"/>
        <w:jc w:val="both"/>
        <w:rPr>
          <w:sz w:val="28"/>
          <w:szCs w:val="28"/>
          <w:lang w:val="es-BO"/>
        </w:rPr>
      </w:pPr>
    </w:p>
    <w:p w:rsidR="00923468" w:rsidRPr="00B87999" w:rsidRDefault="00923468" w:rsidP="006861E1">
      <w:pPr>
        <w:spacing w:before="120"/>
        <w:ind w:firstLine="567"/>
        <w:jc w:val="both"/>
        <w:rPr>
          <w:sz w:val="28"/>
          <w:szCs w:val="28"/>
          <w:lang w:val="sv-SE"/>
        </w:rPr>
      </w:pPr>
    </w:p>
    <w:p w:rsidR="00104666" w:rsidRPr="00B87999" w:rsidRDefault="00104666" w:rsidP="00104666">
      <w:pPr>
        <w:spacing w:before="120"/>
        <w:ind w:firstLine="709"/>
        <w:jc w:val="both"/>
        <w:rPr>
          <w:sz w:val="28"/>
          <w:szCs w:val="28"/>
          <w:lang w:val="sv-SE"/>
        </w:rPr>
      </w:pPr>
    </w:p>
    <w:bookmarkEnd w:id="0"/>
    <w:p w:rsidR="00554C75" w:rsidRPr="00B87999" w:rsidRDefault="00554C75" w:rsidP="006353B8">
      <w:pPr>
        <w:jc w:val="center"/>
        <w:rPr>
          <w:sz w:val="22"/>
          <w:lang w:val="sv-SE"/>
        </w:rPr>
        <w:sectPr w:rsidR="00554C75" w:rsidRPr="00B87999" w:rsidSect="00B032EA">
          <w:headerReference w:type="default" r:id="rId9"/>
          <w:footerReference w:type="even" r:id="rId10"/>
          <w:footerReference w:type="default" r:id="rId11"/>
          <w:pgSz w:w="11907" w:h="16839" w:code="9"/>
          <w:pgMar w:top="1021" w:right="1134" w:bottom="1021" w:left="1701" w:header="567" w:footer="567" w:gutter="0"/>
          <w:cols w:space="720"/>
          <w:titlePg/>
          <w:docGrid w:linePitch="360"/>
        </w:sectPr>
      </w:pPr>
    </w:p>
    <w:p w:rsidR="00CB3E5F" w:rsidRPr="002F1B6A" w:rsidRDefault="00CB3E5F" w:rsidP="00CB3E5F">
      <w:pPr>
        <w:jc w:val="center"/>
        <w:rPr>
          <w:b/>
          <w:sz w:val="28"/>
          <w:szCs w:val="28"/>
          <w:lang w:val="sv-SE"/>
        </w:rPr>
      </w:pPr>
      <w:r w:rsidRPr="002F1B6A">
        <w:rPr>
          <w:b/>
          <w:sz w:val="28"/>
          <w:szCs w:val="28"/>
          <w:lang w:val="sv-SE"/>
        </w:rPr>
        <w:lastRenderedPageBreak/>
        <w:t xml:space="preserve">PHỤ LỤC </w:t>
      </w:r>
    </w:p>
    <w:p w:rsidR="00CB3E5F" w:rsidRPr="002F1B6A" w:rsidRDefault="00934716" w:rsidP="00D263F6">
      <w:pPr>
        <w:jc w:val="center"/>
        <w:rPr>
          <w:b/>
          <w:sz w:val="28"/>
          <w:szCs w:val="28"/>
          <w:lang w:val="sv-SE"/>
        </w:rPr>
      </w:pPr>
      <w:r w:rsidRPr="002F1B6A">
        <w:rPr>
          <w:b/>
          <w:sz w:val="28"/>
          <w:szCs w:val="28"/>
          <w:lang w:val="sv-SE"/>
        </w:rPr>
        <w:t>M</w:t>
      </w:r>
      <w:r w:rsidR="00CB3E5F" w:rsidRPr="002F1B6A">
        <w:rPr>
          <w:b/>
          <w:sz w:val="28"/>
          <w:szCs w:val="28"/>
          <w:lang w:val="sv-SE"/>
        </w:rPr>
        <w:t xml:space="preserve">ức chi </w:t>
      </w:r>
      <w:r w:rsidRPr="002F1B6A">
        <w:rPr>
          <w:b/>
          <w:sz w:val="28"/>
          <w:szCs w:val="28"/>
          <w:lang w:val="sv-SE"/>
        </w:rPr>
        <w:t xml:space="preserve">đề xuất </w:t>
      </w:r>
      <w:r w:rsidR="00D263F6" w:rsidRPr="002F1B6A">
        <w:rPr>
          <w:b/>
          <w:sz w:val="28"/>
          <w:szCs w:val="28"/>
          <w:lang w:val="sv-SE"/>
        </w:rPr>
        <w:t>xây dựng</w:t>
      </w:r>
      <w:r w:rsidR="00CB3E5F" w:rsidRPr="002F1B6A">
        <w:rPr>
          <w:b/>
          <w:sz w:val="28"/>
          <w:szCs w:val="28"/>
          <w:lang w:val="sv-SE"/>
        </w:rPr>
        <w:t xml:space="preserve"> </w:t>
      </w:r>
      <w:r w:rsidR="00D263F6" w:rsidRPr="002F1B6A">
        <w:rPr>
          <w:b/>
          <w:sz w:val="28"/>
          <w:szCs w:val="28"/>
          <w:lang w:val="sv-SE"/>
        </w:rPr>
        <w:t>Quy chuẩn kỹ thuật địa phương</w:t>
      </w:r>
      <w:r w:rsidR="008532CE" w:rsidRPr="002F1B6A">
        <w:rPr>
          <w:b/>
          <w:sz w:val="28"/>
          <w:szCs w:val="28"/>
          <w:lang w:val="sv-SE"/>
        </w:rPr>
        <w:t xml:space="preserve"> </w:t>
      </w:r>
      <w:r w:rsidR="009552EE" w:rsidRPr="002F1B6A">
        <w:rPr>
          <w:b/>
          <w:sz w:val="28"/>
          <w:szCs w:val="28"/>
          <w:lang w:val="sv-SE"/>
        </w:rPr>
        <w:t>trên địa bàn</w:t>
      </w:r>
      <w:r w:rsidR="008532CE" w:rsidRPr="002F1B6A">
        <w:rPr>
          <w:b/>
          <w:sz w:val="28"/>
          <w:szCs w:val="28"/>
          <w:lang w:val="sv-SE"/>
        </w:rPr>
        <w:t xml:space="preserve"> tỉnh Bắc Kạn</w:t>
      </w:r>
    </w:p>
    <w:p w:rsidR="00D263F6" w:rsidRPr="002F1B6A" w:rsidRDefault="00D263F6" w:rsidP="00B94F97">
      <w:pPr>
        <w:jc w:val="center"/>
        <w:rPr>
          <w:b/>
          <w:sz w:val="28"/>
          <w:szCs w:val="28"/>
          <w:lang w:val="sv-SE"/>
        </w:rPr>
      </w:pPr>
    </w:p>
    <w:tbl>
      <w:tblPr>
        <w:tblW w:w="1534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3827"/>
        <w:gridCol w:w="5777"/>
        <w:gridCol w:w="2092"/>
      </w:tblGrid>
      <w:tr w:rsidR="005766D0" w:rsidRPr="005758A4" w:rsidTr="0046576D">
        <w:trPr>
          <w:tblHeader/>
        </w:trPr>
        <w:tc>
          <w:tcPr>
            <w:tcW w:w="675" w:type="dxa"/>
            <w:shd w:val="clear" w:color="auto" w:fill="auto"/>
            <w:vAlign w:val="center"/>
          </w:tcPr>
          <w:p w:rsidR="00CB3E5F" w:rsidRPr="005758A4" w:rsidRDefault="00CB3E5F" w:rsidP="00264BB9">
            <w:pPr>
              <w:spacing w:before="40" w:after="40"/>
              <w:jc w:val="center"/>
              <w:rPr>
                <w:b/>
                <w:sz w:val="28"/>
                <w:szCs w:val="28"/>
              </w:rPr>
            </w:pPr>
            <w:r w:rsidRPr="005758A4">
              <w:rPr>
                <w:b/>
                <w:sz w:val="28"/>
                <w:szCs w:val="28"/>
              </w:rPr>
              <w:t>TT</w:t>
            </w:r>
          </w:p>
        </w:tc>
        <w:tc>
          <w:tcPr>
            <w:tcW w:w="2977" w:type="dxa"/>
            <w:shd w:val="clear" w:color="auto" w:fill="auto"/>
            <w:vAlign w:val="center"/>
          </w:tcPr>
          <w:p w:rsidR="00CB3E5F" w:rsidRPr="005758A4" w:rsidRDefault="00CB3E5F" w:rsidP="00264BB9">
            <w:pPr>
              <w:spacing w:before="40" w:after="40"/>
              <w:jc w:val="center"/>
              <w:rPr>
                <w:b/>
                <w:sz w:val="28"/>
                <w:szCs w:val="28"/>
              </w:rPr>
            </w:pPr>
            <w:r w:rsidRPr="005758A4">
              <w:rPr>
                <w:b/>
                <w:sz w:val="28"/>
                <w:szCs w:val="28"/>
              </w:rPr>
              <w:t>Nội dung chi</w:t>
            </w:r>
          </w:p>
        </w:tc>
        <w:tc>
          <w:tcPr>
            <w:tcW w:w="3827" w:type="dxa"/>
            <w:shd w:val="clear" w:color="auto" w:fill="auto"/>
            <w:vAlign w:val="center"/>
          </w:tcPr>
          <w:p w:rsidR="00CB3E5F" w:rsidRPr="005758A4" w:rsidRDefault="00CB3E5F" w:rsidP="00264BB9">
            <w:pPr>
              <w:spacing w:before="40" w:after="40"/>
              <w:jc w:val="center"/>
              <w:rPr>
                <w:b/>
                <w:sz w:val="28"/>
                <w:szCs w:val="28"/>
              </w:rPr>
            </w:pPr>
            <w:r w:rsidRPr="005758A4">
              <w:rPr>
                <w:b/>
                <w:sz w:val="28"/>
                <w:szCs w:val="28"/>
              </w:rPr>
              <w:t>Mức chi tại Thông tư 27/2020/TT-BTC</w:t>
            </w:r>
          </w:p>
        </w:tc>
        <w:tc>
          <w:tcPr>
            <w:tcW w:w="5777" w:type="dxa"/>
            <w:shd w:val="clear" w:color="auto" w:fill="auto"/>
            <w:vAlign w:val="center"/>
          </w:tcPr>
          <w:p w:rsidR="005766D0" w:rsidRPr="005758A4" w:rsidRDefault="00DD795F" w:rsidP="00DD795F">
            <w:pPr>
              <w:spacing w:before="40" w:after="40"/>
              <w:jc w:val="center"/>
              <w:rPr>
                <w:b/>
                <w:sz w:val="28"/>
                <w:szCs w:val="28"/>
              </w:rPr>
            </w:pPr>
            <w:r w:rsidRPr="005758A4">
              <w:rPr>
                <w:b/>
                <w:sz w:val="28"/>
                <w:szCs w:val="28"/>
              </w:rPr>
              <w:t xml:space="preserve">Mức chi </w:t>
            </w:r>
            <w:r w:rsidR="00CB3E5F" w:rsidRPr="005758A4">
              <w:rPr>
                <w:b/>
                <w:sz w:val="28"/>
                <w:szCs w:val="28"/>
              </w:rPr>
              <w:t>đề xuất</w:t>
            </w:r>
            <w:r w:rsidRPr="005758A4">
              <w:rPr>
                <w:b/>
                <w:sz w:val="28"/>
                <w:szCs w:val="28"/>
              </w:rPr>
              <w:t xml:space="preserve"> tại dự thảo Nghị quyết của tỉnh Bắc Kạn</w:t>
            </w:r>
          </w:p>
        </w:tc>
        <w:tc>
          <w:tcPr>
            <w:tcW w:w="2092" w:type="dxa"/>
            <w:shd w:val="clear" w:color="auto" w:fill="auto"/>
            <w:vAlign w:val="center"/>
          </w:tcPr>
          <w:p w:rsidR="00CB3E5F" w:rsidRPr="005758A4" w:rsidRDefault="001C1682" w:rsidP="00264BB9">
            <w:pPr>
              <w:spacing w:before="40" w:after="40"/>
              <w:jc w:val="center"/>
              <w:rPr>
                <w:b/>
                <w:sz w:val="28"/>
                <w:szCs w:val="28"/>
              </w:rPr>
            </w:pPr>
            <w:r w:rsidRPr="005758A4">
              <w:rPr>
                <w:b/>
                <w:sz w:val="28"/>
                <w:szCs w:val="28"/>
              </w:rPr>
              <w:t>Ghi chú</w:t>
            </w: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4E2FF7" w:rsidRDefault="008276EB" w:rsidP="003A6E28">
            <w:pPr>
              <w:spacing w:before="40" w:after="40"/>
              <w:jc w:val="center"/>
              <w:rPr>
                <w:sz w:val="27"/>
                <w:szCs w:val="27"/>
              </w:rPr>
            </w:pPr>
            <w:r w:rsidRPr="004E2FF7">
              <w:rPr>
                <w:sz w:val="27"/>
                <w:szCs w:val="27"/>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công lao động thuê ngoài đối với cán bộ, chuyên gia trực tiếp xây dựng dự thảo QCĐP (nếu có)</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Mức chi tối đa 20.000.000 đồng/01 dự thảo đối với TCVN, QCKT không cần phải khảo sát, khảo nghiệm;</w:t>
            </w:r>
          </w:p>
          <w:p w:rsidR="008276EB" w:rsidRPr="00661A1E" w:rsidRDefault="008276EB" w:rsidP="00AF4D05">
            <w:pPr>
              <w:spacing w:before="40" w:after="40"/>
              <w:jc w:val="both"/>
              <w:rPr>
                <w:sz w:val="26"/>
                <w:szCs w:val="26"/>
              </w:rPr>
            </w:pPr>
            <w:r w:rsidRPr="00661A1E">
              <w:rPr>
                <w:sz w:val="26"/>
                <w:szCs w:val="26"/>
              </w:rPr>
              <w:t>Mức chi tối đa 45.000.000 đồng/01 dự thảo đối với TCVN, QCKT cần phải khảo sát, khảo nghiệm;</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6D0" w:rsidRPr="00661A1E" w:rsidRDefault="005766D0" w:rsidP="00AF4D05">
            <w:pPr>
              <w:spacing w:before="40" w:after="40"/>
              <w:jc w:val="both"/>
              <w:rPr>
                <w:sz w:val="26"/>
                <w:szCs w:val="26"/>
              </w:rPr>
            </w:pPr>
          </w:p>
          <w:p w:rsidR="008276EB" w:rsidRPr="00661A1E" w:rsidRDefault="008276EB" w:rsidP="00AF4D05">
            <w:pPr>
              <w:spacing w:before="40" w:after="40"/>
              <w:jc w:val="both"/>
              <w:rPr>
                <w:sz w:val="26"/>
                <w:szCs w:val="26"/>
              </w:rPr>
            </w:pPr>
            <w:r w:rsidRPr="00661A1E">
              <w:rPr>
                <w:sz w:val="26"/>
                <w:szCs w:val="26"/>
              </w:rPr>
              <w:t>Mức chi</w:t>
            </w:r>
            <w:r w:rsidR="00AE1491" w:rsidRPr="00661A1E">
              <w:rPr>
                <w:sz w:val="26"/>
                <w:szCs w:val="26"/>
              </w:rPr>
              <w:t xml:space="preserve"> </w:t>
            </w:r>
            <w:r w:rsidRPr="00661A1E">
              <w:rPr>
                <w:sz w:val="26"/>
                <w:szCs w:val="26"/>
              </w:rPr>
              <w:t>14.000.000 đồng/01 dự thảo đối với QCĐP  không cần phải khảo sát, khảo nghiệm;</w:t>
            </w:r>
          </w:p>
          <w:p w:rsidR="008276EB" w:rsidRPr="00661A1E" w:rsidRDefault="008276EB" w:rsidP="005766D0">
            <w:pPr>
              <w:spacing w:before="40" w:after="40"/>
              <w:jc w:val="both"/>
              <w:rPr>
                <w:sz w:val="26"/>
                <w:szCs w:val="26"/>
              </w:rPr>
            </w:pPr>
            <w:r w:rsidRPr="00661A1E">
              <w:rPr>
                <w:sz w:val="26"/>
                <w:szCs w:val="26"/>
              </w:rPr>
              <w:t>Mức chi</w:t>
            </w:r>
            <w:r w:rsidR="00AE1491" w:rsidRPr="00661A1E">
              <w:rPr>
                <w:sz w:val="26"/>
                <w:szCs w:val="26"/>
              </w:rPr>
              <w:t xml:space="preserve"> </w:t>
            </w:r>
            <w:r w:rsidRPr="00661A1E">
              <w:rPr>
                <w:sz w:val="26"/>
                <w:szCs w:val="26"/>
              </w:rPr>
              <w:t>31.500.000 đồng/01 dự thảo đối với QCĐP  cần phải khảo sát, khảo nghiệm;</w:t>
            </w:r>
          </w:p>
          <w:p w:rsidR="005766D0" w:rsidRPr="00661A1E" w:rsidRDefault="005766D0" w:rsidP="005766D0">
            <w:pPr>
              <w:spacing w:before="40" w:after="40"/>
              <w:jc w:val="both"/>
              <w:rPr>
                <w:sz w:val="26"/>
                <w:szCs w:val="26"/>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4E2FF7" w:rsidRDefault="008276EB" w:rsidP="003A6E28">
            <w:pPr>
              <w:spacing w:before="40" w:after="40"/>
              <w:jc w:val="center"/>
              <w:rPr>
                <w:sz w:val="27"/>
                <w:szCs w:val="27"/>
              </w:rPr>
            </w:pPr>
            <w:r w:rsidRPr="004E2FF7">
              <w:rPr>
                <w:sz w:val="27"/>
                <w:szCs w:val="27"/>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lập dự án QCĐP trình cấp có thẩm quyền phê duyệt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mức chi tối đa 1.500.000 đồng/01 dự án được cấp có thẩm quyền phê duyệt;</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6D0" w:rsidRPr="00661A1E" w:rsidRDefault="00F71A74" w:rsidP="005766D0">
            <w:pPr>
              <w:spacing w:before="40" w:after="40"/>
              <w:jc w:val="both"/>
              <w:rPr>
                <w:sz w:val="26"/>
                <w:szCs w:val="26"/>
              </w:rPr>
            </w:pPr>
            <w:r w:rsidRPr="00661A1E">
              <w:rPr>
                <w:sz w:val="26"/>
                <w:szCs w:val="26"/>
              </w:rPr>
              <w:t>M</w:t>
            </w:r>
            <w:r w:rsidR="008276EB" w:rsidRPr="00661A1E">
              <w:rPr>
                <w:sz w:val="26"/>
                <w:szCs w:val="26"/>
              </w:rPr>
              <w:t>ức chi</w:t>
            </w:r>
            <w:r w:rsidR="00AE1491" w:rsidRPr="00661A1E">
              <w:rPr>
                <w:sz w:val="26"/>
                <w:szCs w:val="26"/>
              </w:rPr>
              <w:t xml:space="preserve"> </w:t>
            </w:r>
            <w:r w:rsidR="008276EB" w:rsidRPr="00661A1E">
              <w:rPr>
                <w:sz w:val="26"/>
                <w:szCs w:val="26"/>
              </w:rPr>
              <w:t>1.050.000 đồng/01 dự án được cấp có thẩm quyền phê duyệt;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66D0" w:rsidRDefault="008276EB" w:rsidP="003A6E28">
            <w:pPr>
              <w:spacing w:before="40" w:after="40"/>
              <w:jc w:val="center"/>
              <w:rPr>
                <w:sz w:val="26"/>
                <w:szCs w:val="26"/>
              </w:rPr>
            </w:pPr>
            <w:r w:rsidRPr="005766D0">
              <w:rPr>
                <w:sz w:val="26"/>
                <w:szCs w:val="26"/>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xây dựng thuyết minh dự thảo QCĐP, tổng hợp ý kiến góp ý dự thảo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Áp dụng định mức chi theo quy định tại Điều 7, Điều 8 và Điều 9 Thông tư liên tịch số 55/2015/TTLT-BTC-BKHCN ngày 22/4/2015 của liên bộ: Tài chính, Khoa học và Công nghệ hướng dẫn định mức xây dựng, phân bổ dự toán và quyết toán kinh phí đối với nhiệm vụ khoa học và công nghệ có sử dụng ngân sách nhà nước</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F71A74" w:rsidP="00D83586">
            <w:pPr>
              <w:spacing w:before="40" w:after="40"/>
              <w:jc w:val="both"/>
              <w:rPr>
                <w:sz w:val="26"/>
                <w:szCs w:val="26"/>
              </w:rPr>
            </w:pPr>
            <w:r w:rsidRPr="00661A1E">
              <w:rPr>
                <w:sz w:val="26"/>
                <w:szCs w:val="26"/>
              </w:rPr>
              <w:t>Áp dụng định mức chi tại Điều 7, Điều 8, Điều 9 của Quyết định số 26/2015/QĐ-UBND ban hành quy định định mức xây dựng, phân bổ dự toán và quyết toán kinh phí đối với nhiệm vụ khoa học và công nghệ có sử dụng ngân sách nhà nước trên địa bàn tỉnh Bắc Kạn và  Điều 1 Quyết định số 36/2018/QĐ-UBND ngày 19/11/2018 của UBND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UBND tỉnh Bắc Kạn</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58A4" w:rsidRDefault="008276EB" w:rsidP="003A6E28">
            <w:pPr>
              <w:spacing w:before="40" w:after="40"/>
              <w:jc w:val="center"/>
              <w:rPr>
                <w:sz w:val="28"/>
                <w:szCs w:val="28"/>
              </w:rPr>
            </w:pPr>
            <w:r w:rsidRPr="005758A4">
              <w:rPr>
                <w:sz w:val="28"/>
                <w:szCs w:val="28"/>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cho công tác nghiên cứu, phân tích, đánh giá thực trạng, nghiên cứu tài liệu kỹ thuật, xây dựng báo cáo phân tích kết quả điều tra, khảo sát, khảo nghiệm, thử nghiệm phục vụ cho việc xây dựng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Áp dụng định mức chi theo quy định tại Điều 7, Điều 8 và Điều 9 Thông tư liên tịch số 55/2015/TTLT-BTC-BKHCN;</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F71A74" w:rsidP="00AF4D05">
            <w:pPr>
              <w:spacing w:before="40" w:after="40"/>
              <w:jc w:val="both"/>
              <w:rPr>
                <w:sz w:val="26"/>
                <w:szCs w:val="26"/>
              </w:rPr>
            </w:pPr>
            <w:r w:rsidRPr="00661A1E">
              <w:rPr>
                <w:sz w:val="26"/>
                <w:szCs w:val="26"/>
              </w:rPr>
              <w:t>Áp dụng định mức chi tại Điều 7, Điều 8, Điều 9 của Quyết định số 26/2015/QĐ-UBND ban hành quy định định mức xây dựng, phân bổ dự toán và quyết toán kinh phí đối với nhiệm vụ khoa học và công nghệ có sử dụng ngân sách nhà nước trên địa bàn tỉnh Bắc Kạn và  Điều 1 Quyết định số 36/2018/QĐ-UBND ngày 19/11/2018 của UBND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UBND tỉnh Bắc Kạn</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58A4" w:rsidRDefault="008276EB" w:rsidP="003A6E28">
            <w:pPr>
              <w:spacing w:before="40" w:after="40"/>
              <w:jc w:val="center"/>
              <w:rPr>
                <w:sz w:val="28"/>
                <w:szCs w:val="28"/>
              </w:rPr>
            </w:pPr>
            <w:r w:rsidRPr="005758A4">
              <w:rPr>
                <w:sz w:val="28"/>
                <w:szCs w:val="28"/>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thuê chuyên gia trong nước</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766D0">
            <w:pPr>
              <w:spacing w:before="40" w:after="40"/>
              <w:jc w:val="both"/>
              <w:rPr>
                <w:sz w:val="26"/>
                <w:szCs w:val="26"/>
              </w:rPr>
            </w:pPr>
            <w:r w:rsidRPr="00661A1E">
              <w:rPr>
                <w:sz w:val="26"/>
                <w:szCs w:val="26"/>
              </w:rPr>
              <w:t>Áp dụng định mức chi quy định tại Thông tư số 02/2015/TT-BLĐTBXH ngày 12/01/2015 của Bộ Lao động - Thương binh và Xã hội quy định mức lương đối với chuyên gia trong nước làm cơ sở dự toán gói thầu cung cấp dịch vụ tư vấn áp dụng hình thức hợp đồng theo thời gian sử dụng vốn nhà nước.Tổng dự toán kinh phí thuê chuyên gia trong nước không vượt quá 30% tổng dự toán kinh phí của dự án xây dựng TCVN, QCKT;</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766D0">
            <w:pPr>
              <w:spacing w:before="40" w:after="40"/>
              <w:jc w:val="both"/>
              <w:rPr>
                <w:sz w:val="26"/>
                <w:szCs w:val="26"/>
              </w:rPr>
            </w:pPr>
            <w:r w:rsidRPr="00661A1E">
              <w:rPr>
                <w:sz w:val="26"/>
                <w:szCs w:val="26"/>
              </w:rPr>
              <w:t>Áp dụng định mức quy định tại Khoản 2 Điều 1 Quyết định số 36/2018/QĐ-UBND ngày 19/11/2018 của UBND tỉnh Bắc Kạcn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UBND tỉnh Bắc Kạn.</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66D0" w:rsidRDefault="008276EB" w:rsidP="003A6E28">
            <w:pPr>
              <w:spacing w:before="40" w:after="40"/>
              <w:jc w:val="center"/>
              <w:rPr>
                <w:sz w:val="26"/>
                <w:szCs w:val="26"/>
              </w:rPr>
            </w:pPr>
            <w:r w:rsidRPr="005766D0">
              <w:rPr>
                <w:sz w:val="26"/>
                <w:szCs w:val="26"/>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thuê chuyên gia nước ngoài</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Trong trường hợp phát sinh nhu cầu thuê chuyên gia nước ngoài, đơn vị căn cứ nội dung yêu cầu công việc thuê chuyên gia thực hiện thương thảo mức tiền thuê chuyên gia, thuyết minh rõ kết quả của việc thuê chuyên gia, tiêu chí đánh giá kết quả thuê chuyên gia. Tổng dự toán kinh phí thuê chuyên gia nước ngoài không vượt quá 50% tổng dự toán kinh phí của dự án xây dựng TCVN, QCKT</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Trong trường hợp phát sinh nhu cầu thuê chuyên gia nước ngoài, đơn vị căn cứ nội dung yêu cầu công việc thuê chuyên gia thực hiện thương thảo mức tiền thuê chuyên gia, thuyết minh rõ kết quả của việc thuê chuyên gia, tiêu chí đánh giá kết quả thuê chuyên gia. Tổng dự toán kinh phí thuê chuyên gia nước ngoài không vượt quá 30% tổng dự toán kinh phí của dự án xây dựng quy chuẩn kỹ thuật địa phương</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D57335">
            <w:pPr>
              <w:spacing w:before="40" w:after="40"/>
              <w:jc w:val="both"/>
              <w:rPr>
                <w:sz w:val="26"/>
                <w:szCs w:val="26"/>
              </w:rPr>
            </w:pPr>
            <w:r w:rsidRPr="00661A1E">
              <w:rPr>
                <w:sz w:val="26"/>
                <w:szCs w:val="26"/>
              </w:rPr>
              <w:t>Tương ứng với mức chi tại  Điều 2, Khoản 2, Điểm b Nghị quyết 04/2020/NQ-HĐND ngày 03/5/2020 Quy định nội dung và mức chi từ ngân sách nhà nước để hỗ trợ hệ sinh thái khởi nghiệp đổi mới sáng tạo trên địa bàn tỉnh đ</w:t>
            </w:r>
            <w:r w:rsidR="00D57335" w:rsidRPr="00661A1E">
              <w:rPr>
                <w:sz w:val="26"/>
                <w:szCs w:val="26"/>
              </w:rPr>
              <w:t>ế</w:t>
            </w:r>
            <w:r w:rsidRPr="00661A1E">
              <w:rPr>
                <w:sz w:val="26"/>
                <w:szCs w:val="26"/>
              </w:rPr>
              <w:t>n năm 2025</w:t>
            </w: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58A4" w:rsidRDefault="008276EB" w:rsidP="003A6E28">
            <w:pPr>
              <w:spacing w:before="40" w:after="40"/>
              <w:jc w:val="center"/>
              <w:rPr>
                <w:sz w:val="28"/>
                <w:szCs w:val="28"/>
              </w:rPr>
            </w:pPr>
            <w:r w:rsidRPr="005758A4">
              <w:rPr>
                <w:sz w:val="28"/>
                <w:szCs w:val="28"/>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AF4D05">
            <w:pPr>
              <w:spacing w:before="40" w:after="40"/>
              <w:jc w:val="both"/>
              <w:rPr>
                <w:sz w:val="26"/>
                <w:szCs w:val="26"/>
              </w:rPr>
            </w:pPr>
            <w:r w:rsidRPr="00661A1E">
              <w:rPr>
                <w:sz w:val="26"/>
                <w:szCs w:val="26"/>
              </w:rPr>
              <w:t>Chi lấy ý kiến nhận xét của thành viên Ban biên soạn hoặc tổ biên soạn xây dựng QCĐP, của các chuyên gia, nhà khoa học đối với dự thảo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Mức chi tối đa là 500.000 đồng/thành viên/dự thảo TCVN, QCKT</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EB6F04" w:rsidP="00B27BA6">
            <w:pPr>
              <w:spacing w:before="40" w:after="40"/>
              <w:jc w:val="both"/>
              <w:rPr>
                <w:sz w:val="26"/>
                <w:szCs w:val="26"/>
              </w:rPr>
            </w:pPr>
            <w:r w:rsidRPr="00661A1E">
              <w:rPr>
                <w:sz w:val="26"/>
                <w:szCs w:val="26"/>
              </w:rPr>
              <w:t xml:space="preserve">Mức chi </w:t>
            </w:r>
            <w:r w:rsidR="008276EB" w:rsidRPr="00661A1E">
              <w:rPr>
                <w:sz w:val="26"/>
                <w:szCs w:val="26"/>
              </w:rPr>
              <w:t>là 350.000 đồng/thành viên/dự thảo QCĐP</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323D6E">
            <w:pPr>
              <w:spacing w:before="40" w:after="40"/>
              <w:jc w:val="both"/>
              <w:rPr>
                <w:sz w:val="26"/>
                <w:szCs w:val="26"/>
              </w:rPr>
            </w:pPr>
            <w:r w:rsidRPr="00661A1E">
              <w:rPr>
                <w:sz w:val="26"/>
                <w:szCs w:val="26"/>
              </w:rPr>
              <w:t xml:space="preserve">Tương ứng </w:t>
            </w:r>
            <w:r w:rsidR="00B87999" w:rsidRPr="00661A1E">
              <w:rPr>
                <w:sz w:val="26"/>
                <w:szCs w:val="26"/>
              </w:rPr>
              <w:t xml:space="preserve">mức chi </w:t>
            </w:r>
            <w:r w:rsidRPr="00661A1E">
              <w:rPr>
                <w:sz w:val="26"/>
                <w:szCs w:val="26"/>
              </w:rPr>
              <w:t>tại</w:t>
            </w:r>
            <w:r w:rsidR="00430E8D" w:rsidRPr="00661A1E">
              <w:rPr>
                <w:sz w:val="26"/>
                <w:szCs w:val="26"/>
              </w:rPr>
              <w:t xml:space="preserve"> khoản 2 điều 2</w:t>
            </w:r>
            <w:r w:rsidRPr="00661A1E">
              <w:rPr>
                <w:sz w:val="26"/>
                <w:szCs w:val="26"/>
              </w:rPr>
              <w:t xml:space="preserve"> Nghị quyết 14/2019/NQ-HĐND ngày 06/12/20</w:t>
            </w:r>
            <w:r w:rsidR="00323D6E" w:rsidRPr="00661A1E">
              <w:rPr>
                <w:sz w:val="26"/>
                <w:szCs w:val="26"/>
              </w:rPr>
              <w:t>1</w:t>
            </w:r>
            <w:r w:rsidRPr="00661A1E">
              <w:rPr>
                <w:sz w:val="26"/>
                <w:szCs w:val="26"/>
              </w:rPr>
              <w:t>9 và</w:t>
            </w:r>
            <w:r w:rsidR="008C5D94" w:rsidRPr="00661A1E">
              <w:rPr>
                <w:sz w:val="26"/>
                <w:szCs w:val="26"/>
              </w:rPr>
              <w:t xml:space="preserve"> khoản 6 điều1</w:t>
            </w:r>
            <w:r w:rsidRPr="00661A1E">
              <w:rPr>
                <w:sz w:val="26"/>
                <w:szCs w:val="26"/>
              </w:rPr>
              <w:t xml:space="preserve"> Quyết định 36/2018/QĐ-UBND ngày 11/9</w:t>
            </w:r>
            <w:r w:rsidR="00323D6E" w:rsidRPr="00661A1E">
              <w:rPr>
                <w:sz w:val="26"/>
                <w:szCs w:val="26"/>
              </w:rPr>
              <w:t>/</w:t>
            </w:r>
            <w:r w:rsidRPr="00661A1E">
              <w:rPr>
                <w:sz w:val="26"/>
                <w:szCs w:val="26"/>
              </w:rPr>
              <w:t>2018 của UBND tỉnh Bắc Kạn.</w:t>
            </w: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58A4" w:rsidRDefault="008276EB" w:rsidP="003A6E28">
            <w:pPr>
              <w:spacing w:before="40" w:after="40"/>
              <w:jc w:val="center"/>
              <w:rPr>
                <w:sz w:val="28"/>
                <w:szCs w:val="28"/>
              </w:rPr>
            </w:pPr>
            <w:r w:rsidRPr="005758A4">
              <w:rPr>
                <w:sz w:val="28"/>
                <w:szCs w:val="28"/>
              </w:rPr>
              <w:lastRenderedPageBreak/>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385066">
            <w:pPr>
              <w:spacing w:before="40" w:after="40"/>
              <w:rPr>
                <w:sz w:val="26"/>
                <w:szCs w:val="26"/>
              </w:rPr>
            </w:pPr>
            <w:r w:rsidRPr="00661A1E">
              <w:rPr>
                <w:sz w:val="26"/>
                <w:szCs w:val="26"/>
              </w:rPr>
              <w:t>Chi mua vật tư, văn phòng phẩm, nguyên, nhiên vật liệu, tiêu chuẩn, quy trình, tài liệu kỹ thuật, bí quyết công nghệ phục vụ cho việc xây dựng dự thảo TCCS,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Căn cứ khối lượng công việc, chế độ, định mức hiện hành (nếu có) và các báo giá liên quan.</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Căn cứ khối lượng công việc, chế độ, định mức hiện hành (nếu có) và các báo giá liên quan.</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5758A4" w:rsidRDefault="008276EB" w:rsidP="003A6E28">
            <w:pPr>
              <w:spacing w:before="40" w:after="40"/>
              <w:jc w:val="center"/>
              <w:rPr>
                <w:sz w:val="28"/>
                <w:szCs w:val="28"/>
              </w:rPr>
            </w:pPr>
            <w:r w:rsidRPr="005758A4">
              <w:rPr>
                <w:sz w:val="28"/>
                <w:szCs w:val="28"/>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385066">
            <w:pPr>
              <w:spacing w:before="40" w:after="40"/>
              <w:rPr>
                <w:sz w:val="26"/>
                <w:szCs w:val="26"/>
              </w:rPr>
            </w:pPr>
            <w:r w:rsidRPr="00661A1E">
              <w:rPr>
                <w:sz w:val="26"/>
                <w:szCs w:val="26"/>
              </w:rPr>
              <w:t>Chi tổ chức các cuộc họp Ban kỹ thuật TCVN, Ban biên soạn hoặc tổ biên soạn xây dựng TCVN</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Trưởng ban: Tối đa 150.000 đồng/người/buổi.</w:t>
            </w:r>
          </w:p>
          <w:p w:rsidR="008276EB" w:rsidRPr="00661A1E" w:rsidRDefault="008276EB" w:rsidP="005E443B">
            <w:pPr>
              <w:spacing w:before="40" w:after="40"/>
              <w:jc w:val="both"/>
              <w:rPr>
                <w:sz w:val="26"/>
                <w:szCs w:val="26"/>
              </w:rPr>
            </w:pPr>
            <w:r w:rsidRPr="00661A1E">
              <w:rPr>
                <w:sz w:val="26"/>
                <w:szCs w:val="26"/>
              </w:rPr>
              <w:t>- Các thành viên Ban kỹ thuật: Tối đa 100.000 đồng/người/buổi.</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Không xây dựng nội dung chi này</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538F4">
            <w:pPr>
              <w:spacing w:before="40" w:after="40"/>
              <w:jc w:val="both"/>
              <w:rPr>
                <w:sz w:val="26"/>
                <w:szCs w:val="26"/>
              </w:rPr>
            </w:pPr>
            <w:r w:rsidRPr="00661A1E">
              <w:rPr>
                <w:sz w:val="26"/>
                <w:szCs w:val="26"/>
              </w:rPr>
              <w:t>Theo Luật Tiêu chuẩn và Quy chuẩn kỹ thuật số</w:t>
            </w:r>
            <w:r w:rsidR="008538F4" w:rsidRPr="00661A1E">
              <w:rPr>
                <w:sz w:val="26"/>
                <w:szCs w:val="26"/>
              </w:rPr>
              <w:t>6</w:t>
            </w:r>
            <w:r w:rsidRPr="00661A1E">
              <w:rPr>
                <w:sz w:val="26"/>
                <w:szCs w:val="26"/>
              </w:rPr>
              <w:t>8/2006/QH11 ngày 29/6/2006, thì cấp tỉnh chỉ ban hành Quy chuẩn kỹ thuật địa phương, còn Tiêu chuẩn quốc gia  và Quy chuẩn kỹ thuật quốc gia là do cấp Trung ương ban hành. Vì vậy, ở cấp địa phương chỉ cần ban hành mức chi cho quy chuẩn kỹ thuật địa phương.</w:t>
            </w: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5758A4" w:rsidRDefault="005758A4" w:rsidP="003A6E28">
            <w:pPr>
              <w:spacing w:before="40" w:after="40"/>
              <w:jc w:val="center"/>
              <w:rPr>
                <w:sz w:val="28"/>
                <w:szCs w:val="28"/>
              </w:rPr>
            </w:pPr>
            <w:r w:rsidRPr="005758A4">
              <w:rPr>
                <w:sz w:val="28"/>
                <w:szCs w:val="28"/>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58A4" w:rsidP="00385066">
            <w:pPr>
              <w:spacing w:before="40" w:after="40"/>
              <w:rPr>
                <w:sz w:val="26"/>
                <w:szCs w:val="26"/>
              </w:rPr>
            </w:pPr>
            <w:r w:rsidRPr="00661A1E">
              <w:rPr>
                <w:sz w:val="26"/>
                <w:szCs w:val="26"/>
              </w:rPr>
              <w:t>Chi tổ chức hội thảo khoa học, hội nghị chuyên đề, tham gia góp ý cho dự thảo QCĐP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58A4" w:rsidP="005E443B">
            <w:pPr>
              <w:spacing w:before="40" w:after="40"/>
              <w:jc w:val="both"/>
              <w:rPr>
                <w:sz w:val="26"/>
                <w:szCs w:val="26"/>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58A4" w:rsidP="005E443B">
            <w:pPr>
              <w:spacing w:before="40" w:after="40"/>
              <w:jc w:val="both"/>
              <w:rPr>
                <w:sz w:val="26"/>
                <w:szCs w:val="26"/>
              </w:rPr>
            </w:pPr>
          </w:p>
        </w:tc>
        <w:tc>
          <w:tcPr>
            <w:tcW w:w="2092" w:type="dxa"/>
            <w:vMerge w:val="restart"/>
            <w:tcBorders>
              <w:top w:val="single" w:sz="4" w:space="0" w:color="000000"/>
              <w:left w:val="single" w:sz="4" w:space="0" w:color="000000"/>
              <w:right w:val="single" w:sz="4" w:space="0" w:color="000000"/>
            </w:tcBorders>
            <w:shd w:val="clear" w:color="auto" w:fill="auto"/>
            <w:vAlign w:val="center"/>
          </w:tcPr>
          <w:p w:rsidR="005758A4" w:rsidRPr="00661A1E" w:rsidRDefault="005758A4" w:rsidP="009C5F34">
            <w:pPr>
              <w:spacing w:before="40" w:after="40"/>
              <w:jc w:val="center"/>
              <w:rPr>
                <w:sz w:val="26"/>
                <w:szCs w:val="26"/>
              </w:rPr>
            </w:pPr>
            <w:r w:rsidRPr="00661A1E">
              <w:rPr>
                <w:sz w:val="26"/>
                <w:szCs w:val="26"/>
              </w:rPr>
              <w:t>Tương ứng mức chi tại khoản 2 điều 2 Nghị quyết 14/2019/NQ-</w:t>
            </w:r>
            <w:r w:rsidRPr="00661A1E">
              <w:rPr>
                <w:sz w:val="26"/>
                <w:szCs w:val="26"/>
              </w:rPr>
              <w:lastRenderedPageBreak/>
              <w:t>HĐND ngày 06/12/20</w:t>
            </w:r>
            <w:r w:rsidR="009C5F34" w:rsidRPr="00661A1E">
              <w:rPr>
                <w:sz w:val="26"/>
                <w:szCs w:val="26"/>
              </w:rPr>
              <w:t>1</w:t>
            </w:r>
            <w:r w:rsidRPr="00661A1E">
              <w:rPr>
                <w:sz w:val="26"/>
                <w:szCs w:val="26"/>
              </w:rPr>
              <w:t>9 và khoản 3 điều1 Quyết</w:t>
            </w:r>
            <w:r w:rsidR="00024BD0" w:rsidRPr="00661A1E">
              <w:rPr>
                <w:sz w:val="26"/>
                <w:szCs w:val="26"/>
              </w:rPr>
              <w:t xml:space="preserve"> định 36/2018/QĐ-UBND ngày 11/9/</w:t>
            </w:r>
            <w:r w:rsidRPr="00661A1E">
              <w:rPr>
                <w:sz w:val="26"/>
                <w:szCs w:val="26"/>
              </w:rPr>
              <w:t>2018 của UBND tỉnh Bắc Kạn</w:t>
            </w: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5758A4" w:rsidRDefault="005758A4" w:rsidP="003A6E28">
            <w:pPr>
              <w:spacing w:before="40" w:after="4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58A4" w:rsidP="00385066">
            <w:pPr>
              <w:spacing w:before="40" w:after="40"/>
              <w:rPr>
                <w:sz w:val="26"/>
                <w:szCs w:val="26"/>
              </w:rPr>
            </w:pPr>
            <w:r w:rsidRPr="00661A1E">
              <w:rPr>
                <w:sz w:val="26"/>
                <w:szCs w:val="26"/>
              </w:rPr>
              <w:t>Chủ trì cuộc họp: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66D0" w:rsidP="005766D0">
            <w:pPr>
              <w:spacing w:before="40" w:after="40"/>
              <w:rPr>
                <w:sz w:val="26"/>
                <w:szCs w:val="26"/>
              </w:rPr>
            </w:pPr>
            <w:r w:rsidRPr="00661A1E">
              <w:rPr>
                <w:sz w:val="26"/>
                <w:szCs w:val="26"/>
              </w:rPr>
              <w:t>Tối đa 600.000 đ</w:t>
            </w:r>
            <w:r w:rsidR="005758A4" w:rsidRPr="00661A1E">
              <w:rPr>
                <w:sz w:val="26"/>
                <w:szCs w:val="26"/>
              </w:rPr>
              <w:t>ồng/người/buổi</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B27BA6" w:rsidP="005758A4">
            <w:pPr>
              <w:spacing w:before="40" w:after="40"/>
              <w:rPr>
                <w:sz w:val="26"/>
                <w:szCs w:val="26"/>
              </w:rPr>
            </w:pPr>
            <w:r w:rsidRPr="00661A1E">
              <w:rPr>
                <w:sz w:val="26"/>
                <w:szCs w:val="26"/>
              </w:rPr>
              <w:t xml:space="preserve">Mức chi </w:t>
            </w:r>
            <w:r w:rsidR="005758A4" w:rsidRPr="00661A1E">
              <w:rPr>
                <w:sz w:val="26"/>
                <w:szCs w:val="26"/>
              </w:rPr>
              <w:t>420.000 đồng/người/buổi</w:t>
            </w:r>
          </w:p>
        </w:tc>
        <w:tc>
          <w:tcPr>
            <w:tcW w:w="2092" w:type="dxa"/>
            <w:vMerge/>
            <w:tcBorders>
              <w:left w:val="single" w:sz="4" w:space="0" w:color="000000"/>
              <w:right w:val="single" w:sz="4" w:space="0" w:color="000000"/>
            </w:tcBorders>
            <w:shd w:val="clear" w:color="auto" w:fill="auto"/>
            <w:vAlign w:val="center"/>
          </w:tcPr>
          <w:p w:rsidR="005758A4" w:rsidRPr="00661A1E" w:rsidRDefault="005758A4" w:rsidP="002112A1">
            <w:pPr>
              <w:spacing w:before="40" w:after="40"/>
              <w:jc w:val="center"/>
              <w:rPr>
                <w:sz w:val="26"/>
                <w:szCs w:val="26"/>
              </w:rPr>
            </w:pPr>
          </w:p>
        </w:tc>
      </w:tr>
      <w:tr w:rsidR="005766D0" w:rsidRPr="005758A4"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5758A4" w:rsidRDefault="005758A4" w:rsidP="003A6E28">
            <w:pPr>
              <w:spacing w:before="40" w:after="4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58A4" w:rsidP="003063A0">
            <w:pPr>
              <w:spacing w:before="40" w:after="40"/>
              <w:rPr>
                <w:sz w:val="26"/>
                <w:szCs w:val="26"/>
              </w:rPr>
            </w:pPr>
            <w:r w:rsidRPr="00661A1E">
              <w:rPr>
                <w:sz w:val="26"/>
                <w:szCs w:val="26"/>
              </w:rPr>
              <w:t>Các thành viên tham dự: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5758A4" w:rsidP="005E443B">
            <w:pPr>
              <w:spacing w:before="40" w:after="40"/>
              <w:jc w:val="both"/>
              <w:rPr>
                <w:sz w:val="26"/>
                <w:szCs w:val="26"/>
              </w:rPr>
            </w:pPr>
            <w:r w:rsidRPr="00661A1E">
              <w:rPr>
                <w:sz w:val="26"/>
                <w:szCs w:val="26"/>
              </w:rPr>
              <w:t>Tối đa 100.000 đồng/người/buổi</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8A4" w:rsidRPr="00661A1E" w:rsidRDefault="00B27BA6" w:rsidP="005E443B">
            <w:pPr>
              <w:spacing w:before="40" w:after="40"/>
              <w:jc w:val="both"/>
              <w:rPr>
                <w:sz w:val="26"/>
                <w:szCs w:val="26"/>
              </w:rPr>
            </w:pPr>
            <w:r w:rsidRPr="00661A1E">
              <w:rPr>
                <w:sz w:val="26"/>
                <w:szCs w:val="26"/>
              </w:rPr>
              <w:t xml:space="preserve">Mức chi </w:t>
            </w:r>
            <w:r w:rsidR="005758A4" w:rsidRPr="00661A1E">
              <w:rPr>
                <w:sz w:val="26"/>
                <w:szCs w:val="26"/>
              </w:rPr>
              <w:t>70.000 đồng/người/buổi</w:t>
            </w:r>
          </w:p>
        </w:tc>
        <w:tc>
          <w:tcPr>
            <w:tcW w:w="2092" w:type="dxa"/>
            <w:vMerge/>
            <w:tcBorders>
              <w:left w:val="single" w:sz="4" w:space="0" w:color="000000"/>
              <w:bottom w:val="single" w:sz="4" w:space="0" w:color="000000"/>
              <w:right w:val="single" w:sz="4" w:space="0" w:color="000000"/>
            </w:tcBorders>
            <w:shd w:val="clear" w:color="auto" w:fill="auto"/>
            <w:vAlign w:val="center"/>
          </w:tcPr>
          <w:p w:rsidR="005758A4" w:rsidRPr="00661A1E" w:rsidRDefault="005758A4"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Chi dịch và hiệu đính tài liệu từ tiếng nước ngoài sang tiếng Việt và dịch tiếng Việt sang tiếng nước ngoài</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Áp dụng định mức chi quy định tại khoản 7 Điều 4 Thông tư số 338/2016/TT-BTC ngày 28/12/2016 của Bộ Tài chính quy định lập dự toán, quản lý, sử dụng và quyết toán kinh phí ngân sách nhà nước bảo đảm cho công tác xây dựng văn bản quy phạm pháp luật và hoàn thiện hệ thống pháp luật;</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BF58CA" w:rsidP="004D3822">
            <w:pPr>
              <w:spacing w:before="40" w:after="40"/>
              <w:ind w:right="-107"/>
              <w:jc w:val="both"/>
              <w:rPr>
                <w:sz w:val="26"/>
                <w:szCs w:val="26"/>
              </w:rPr>
            </w:pPr>
            <w:r w:rsidRPr="00661A1E">
              <w:rPr>
                <w:sz w:val="26"/>
                <w:szCs w:val="26"/>
              </w:rPr>
              <w:t>Áp dụng định mức chi quy định tại điểm 7, khoản 3 điều 1 Thông tư số 42/2022/TT-BTC ngày 06/7/2022 sửa đổi bổ sung một số điều của Thông tư sô 338/2016/TT-BTC ngày 28/12/2016 của Bộ trưởng Bộ  Tài Chính quy định lập dự toán quản lý, sử dụng và quyết toán kinh phí ngân sách nhà nước bảo đảm cho công tac xây dựng văn bản quy phạm pháp luật và hoàn thiện hệ thống pháp luật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Chi cho hoạt động khảo sát, điều tra phục vụ công tác xây dựng dự thảo TCCS,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Áp dụng định mức chi quy định tại Thông tư số 109/2016/TT-BTC ngày 30/6/2016 của Bộ Tài chính quy định lập dự toán, quản lý, sử dụng và quyết toán kinh phí thực hiện các cuộc điều tra thống kê, tổng điều tra thống kê quốc gia;</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5E443B">
            <w:pPr>
              <w:spacing w:before="40" w:after="40"/>
              <w:jc w:val="both"/>
              <w:rPr>
                <w:sz w:val="26"/>
                <w:szCs w:val="26"/>
              </w:rPr>
            </w:pPr>
            <w:r w:rsidRPr="00661A1E">
              <w:rPr>
                <w:sz w:val="26"/>
                <w:szCs w:val="26"/>
              </w:rPr>
              <w:t>Áp dụng định mức chi quy định tại Nghị quyết số 10/2018/NQ-HĐND ngày 17/7/2018 của Hội đồng nhân dân tỉnh Bắc Kạn quy định nội dung và mức chi thực hiện các cuộc điều tra thống kê thuộc thẩm quyền quyết định của Chủ tịch Uỷ ban nhân dân tỉnh do ngân sách địa phương đảm bảo.</w:t>
            </w:r>
          </w:p>
          <w:p w:rsidR="008276EB" w:rsidRPr="00661A1E" w:rsidRDefault="008276EB" w:rsidP="005E443B">
            <w:pPr>
              <w:spacing w:before="40" w:after="40"/>
              <w:jc w:val="both"/>
              <w:rPr>
                <w:sz w:val="26"/>
                <w:szCs w:val="26"/>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Chi mua mẫu, thử nghiệm, khảo nghiệm trong nước, ngoài nước về các nội dung của dự thảo TCCS,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F7752F">
            <w:pPr>
              <w:spacing w:before="40" w:after="40"/>
              <w:jc w:val="both"/>
              <w:rPr>
                <w:sz w:val="26"/>
                <w:szCs w:val="26"/>
              </w:rPr>
            </w:pPr>
            <w:r w:rsidRPr="00661A1E">
              <w:rPr>
                <w:sz w:val="26"/>
                <w:szCs w:val="26"/>
              </w:rPr>
              <w:t>Tùy theo từng lĩnh vực cụ thể thực hiện theo yêu cầu thực tế phát sinh và báo giá tương ứng của nhà cung cấp;</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B07395">
            <w:pPr>
              <w:spacing w:before="40" w:after="40"/>
              <w:jc w:val="both"/>
              <w:rPr>
                <w:sz w:val="26"/>
                <w:szCs w:val="26"/>
              </w:rPr>
            </w:pPr>
            <w:r w:rsidRPr="00661A1E">
              <w:rPr>
                <w:sz w:val="26"/>
                <w:szCs w:val="26"/>
              </w:rPr>
              <w:t>Tùy theo từng lĩnh vực cụ thể thực hiện theo yêu cầu thực tế phát sinh và báo giá tương ứng của nhà cung cấp;</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353C40"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lastRenderedPageBreak/>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9F3E18">
            <w:pPr>
              <w:spacing w:before="40" w:after="40"/>
              <w:jc w:val="center"/>
              <w:rPr>
                <w:sz w:val="26"/>
                <w:szCs w:val="26"/>
              </w:rPr>
            </w:pPr>
            <w:r w:rsidRPr="00661A1E">
              <w:rPr>
                <w:sz w:val="26"/>
                <w:szCs w:val="26"/>
              </w:rPr>
              <w:t>Chi nhận xét đánh giá phản biện hoặc thẩm tra của thành viên Hội đồng thẩm tra, đối với dự thảo TCCS,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F7752F">
            <w:pPr>
              <w:spacing w:before="40" w:after="40"/>
              <w:jc w:val="both"/>
              <w:rPr>
                <w:sz w:val="26"/>
                <w:szCs w:val="26"/>
              </w:rPr>
            </w:pPr>
            <w:r w:rsidRPr="00661A1E">
              <w:rPr>
                <w:sz w:val="26"/>
                <w:szCs w:val="26"/>
              </w:rPr>
              <w:t>Mức chi tối đa 500.000 đồng/01 báo cáo phản biện hoặc báo cáo thẩm tra hoặc báo cáo thẩm định.</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0B7719">
            <w:pPr>
              <w:spacing w:before="40" w:after="40"/>
              <w:jc w:val="both"/>
              <w:rPr>
                <w:sz w:val="26"/>
                <w:szCs w:val="26"/>
              </w:rPr>
            </w:pPr>
            <w:r w:rsidRPr="00661A1E">
              <w:rPr>
                <w:sz w:val="26"/>
                <w:szCs w:val="26"/>
              </w:rPr>
              <w:t>Mức chi 350.000 đồng/01 báo cáo phản biện hoặc báo cáo thẩm tra hoặc báo cáo thẩm định.</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 xml:space="preserve">Tương ứng </w:t>
            </w:r>
            <w:r w:rsidR="00B87999" w:rsidRPr="00661A1E">
              <w:rPr>
                <w:sz w:val="26"/>
                <w:szCs w:val="26"/>
              </w:rPr>
              <w:t xml:space="preserve">mức chi </w:t>
            </w:r>
            <w:r w:rsidRPr="00661A1E">
              <w:rPr>
                <w:sz w:val="26"/>
                <w:szCs w:val="26"/>
              </w:rPr>
              <w:t xml:space="preserve">tại </w:t>
            </w:r>
            <w:r w:rsidR="004343C7" w:rsidRPr="00661A1E">
              <w:rPr>
                <w:sz w:val="26"/>
                <w:szCs w:val="26"/>
              </w:rPr>
              <w:t xml:space="preserve">khoản 6 điều 1 </w:t>
            </w:r>
            <w:r w:rsidRPr="00661A1E">
              <w:rPr>
                <w:sz w:val="26"/>
                <w:szCs w:val="26"/>
              </w:rPr>
              <w:t>Quyết định 36/2018/QĐ-UBND ngày 11/9.2018 của UBND tỉnh Bắc Kạn.</w:t>
            </w: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t>15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17076F" w:rsidP="0017076F">
            <w:pPr>
              <w:spacing w:before="40" w:after="40"/>
              <w:jc w:val="center"/>
              <w:rPr>
                <w:sz w:val="26"/>
                <w:szCs w:val="26"/>
              </w:rPr>
            </w:pPr>
            <w:r w:rsidRPr="00661A1E">
              <w:rPr>
                <w:sz w:val="26"/>
                <w:szCs w:val="26"/>
              </w:rPr>
              <w:t xml:space="preserve">Hội đồng thẩm tra </w:t>
            </w:r>
            <w:r w:rsidR="008276EB" w:rsidRPr="00661A1E">
              <w:rPr>
                <w:sz w:val="26"/>
                <w:szCs w:val="26"/>
              </w:rPr>
              <w:t>dự thảo tiêu chuẩn quốc gia và quy chuẩn kỹ thuật: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Chủ tịch Hội đồng</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F7752F">
            <w:pPr>
              <w:spacing w:before="40" w:after="40"/>
              <w:jc w:val="both"/>
              <w:rPr>
                <w:sz w:val="26"/>
                <w:szCs w:val="26"/>
              </w:rPr>
            </w:pPr>
            <w:r w:rsidRPr="00661A1E">
              <w:rPr>
                <w:sz w:val="26"/>
                <w:szCs w:val="26"/>
              </w:rPr>
              <w:t>Tối đa 1.000.000 đồng/người/buổi</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B27BA6" w:rsidP="000B7719">
            <w:pPr>
              <w:spacing w:before="40" w:after="40"/>
              <w:jc w:val="both"/>
              <w:rPr>
                <w:sz w:val="26"/>
                <w:szCs w:val="26"/>
              </w:rPr>
            </w:pPr>
            <w:r w:rsidRPr="00661A1E">
              <w:rPr>
                <w:sz w:val="26"/>
                <w:szCs w:val="26"/>
              </w:rPr>
              <w:t xml:space="preserve">Mức chi </w:t>
            </w:r>
            <w:r w:rsidR="008276EB" w:rsidRPr="00661A1E">
              <w:rPr>
                <w:sz w:val="26"/>
                <w:szCs w:val="26"/>
              </w:rPr>
              <w:t>700.000 đồng/người/buổi</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r w:rsidRPr="00661A1E">
              <w:rPr>
                <w:sz w:val="26"/>
                <w:szCs w:val="26"/>
              </w:rPr>
              <w:t>Thành viên Hội đồng</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F7752F">
            <w:pPr>
              <w:spacing w:before="40" w:after="40"/>
              <w:jc w:val="both"/>
              <w:rPr>
                <w:sz w:val="26"/>
                <w:szCs w:val="26"/>
              </w:rPr>
            </w:pPr>
            <w:r w:rsidRPr="00661A1E">
              <w:rPr>
                <w:sz w:val="26"/>
                <w:szCs w:val="26"/>
              </w:rPr>
              <w:t>Tối đa 500.000 đồng/người/buổi</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B27BA6" w:rsidP="000B7719">
            <w:pPr>
              <w:spacing w:before="40" w:after="40"/>
              <w:jc w:val="both"/>
              <w:rPr>
                <w:sz w:val="26"/>
                <w:szCs w:val="26"/>
              </w:rPr>
            </w:pPr>
            <w:r w:rsidRPr="00661A1E">
              <w:rPr>
                <w:sz w:val="26"/>
                <w:szCs w:val="26"/>
              </w:rPr>
              <w:t xml:space="preserve">Mức chi </w:t>
            </w:r>
            <w:r w:rsidR="008276EB" w:rsidRPr="00661A1E">
              <w:rPr>
                <w:sz w:val="26"/>
                <w:szCs w:val="26"/>
              </w:rPr>
              <w:t>350.000 đồng/người/buổi</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t>16</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jc w:val="center"/>
              <w:rPr>
                <w:sz w:val="26"/>
                <w:szCs w:val="26"/>
              </w:rPr>
            </w:pPr>
            <w:r w:rsidRPr="00661A1E">
              <w:rPr>
                <w:sz w:val="26"/>
                <w:szCs w:val="26"/>
              </w:rPr>
              <w:t>Chi công tác phí</w:t>
            </w:r>
          </w:p>
          <w:p w:rsidR="008276EB" w:rsidRPr="00661A1E" w:rsidRDefault="008276EB" w:rsidP="008276EB">
            <w:pPr>
              <w:jc w:val="center"/>
              <w:rPr>
                <w:sz w:val="26"/>
                <w:szCs w:val="26"/>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6F0023">
            <w:pPr>
              <w:spacing w:before="40" w:after="40"/>
              <w:jc w:val="both"/>
              <w:rPr>
                <w:sz w:val="26"/>
                <w:szCs w:val="26"/>
              </w:rPr>
            </w:pPr>
            <w:r w:rsidRPr="00661A1E">
              <w:rPr>
                <w:sz w:val="26"/>
                <w:szCs w:val="26"/>
              </w:rPr>
              <w:t>Thực hiện theo quy định tại Thông tư số 40/2017/TT-BTC ngày 28/4/2017 của Bộ Tài chính quy định chế độ công tác phí, chế độ chi hội nghị;</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0B7719">
            <w:pPr>
              <w:spacing w:before="40" w:after="40"/>
              <w:jc w:val="both"/>
              <w:rPr>
                <w:sz w:val="26"/>
                <w:szCs w:val="26"/>
              </w:rPr>
            </w:pPr>
            <w:r w:rsidRPr="00661A1E">
              <w:rPr>
                <w:sz w:val="26"/>
                <w:szCs w:val="26"/>
              </w:rPr>
              <w:t>Thực hiện theo quy định tại Nghị quyết số 39/2017/NQ-HĐND ngày 07/12/2017 của Hội đồng nhân dân tỉnh Bắc Kạn quy định mức chi công tác phí, chi hội nghị của các cơ quan nhà nước, đơn vị sự nghiệp công lập, tổ chức chính trị, tổ chức chính trị- xã hội, các tổ chức hội, đơn vị lực lượng vũ trang có sử dụng ngân sách tỉnh Bắc Kạn</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r w:rsidR="005766D0" w:rsidRPr="00DC5F62" w:rsidTr="0046576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8276EB" w:rsidRDefault="008276EB" w:rsidP="003A6E28">
            <w:pPr>
              <w:spacing w:before="40" w:after="40"/>
              <w:jc w:val="center"/>
              <w:rPr>
                <w:sz w:val="26"/>
                <w:szCs w:val="26"/>
              </w:rPr>
            </w:pPr>
            <w:r w:rsidRPr="008276EB">
              <w:rPr>
                <w:sz w:val="26"/>
                <w:szCs w:val="26"/>
              </w:rPr>
              <w:t>17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jc w:val="center"/>
              <w:rPr>
                <w:sz w:val="26"/>
                <w:szCs w:val="26"/>
              </w:rPr>
            </w:pPr>
            <w:r w:rsidRPr="00661A1E">
              <w:rPr>
                <w:sz w:val="26"/>
                <w:szCs w:val="26"/>
              </w:rPr>
              <w:t>Một số khoản chi khác liên quan trực tiếp đến việc xây dựng dự thảo TCCS, QCĐP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6F0023">
            <w:pPr>
              <w:jc w:val="both"/>
              <w:rPr>
                <w:sz w:val="26"/>
                <w:szCs w:val="26"/>
              </w:rPr>
            </w:pPr>
            <w:r w:rsidRPr="00661A1E">
              <w:rPr>
                <w:sz w:val="26"/>
                <w:szCs w:val="26"/>
              </w:rPr>
              <w:t>Thực hiện theo các văn bản quy định về định mức, tiêu chuẩn, chế độ chi tiêu tương ứng của Bộ Tài chính.</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1674E5" w:rsidP="000B7719">
            <w:pPr>
              <w:jc w:val="both"/>
              <w:rPr>
                <w:sz w:val="26"/>
                <w:szCs w:val="26"/>
              </w:rPr>
            </w:pPr>
            <w:r w:rsidRPr="00661A1E">
              <w:rPr>
                <w:color w:val="000000"/>
                <w:sz w:val="26"/>
                <w:szCs w:val="26"/>
              </w:rPr>
              <w:t>Thực hiện theo quy định tại Thông tư 27/2020/TT-BTC ngày 17/4/2020 của Bộ trưởng Bộ Tài chính hướng dẫn quản lý và sử dụng kinh phí xây dựng tiêu chuẩn quốc gia và quy chuẩn kỹ thuật và các văn bản quy định hiện hành</w:t>
            </w:r>
            <w:r w:rsidRPr="00661A1E">
              <w:rPr>
                <w:color w:val="000000"/>
                <w:sz w:val="26"/>
                <w:szCs w:val="26"/>
                <w:lang w:val="vi-VN"/>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6EB" w:rsidRPr="00661A1E" w:rsidRDefault="008276EB" w:rsidP="008276EB">
            <w:pPr>
              <w:spacing w:before="40" w:after="40"/>
              <w:jc w:val="center"/>
              <w:rPr>
                <w:sz w:val="26"/>
                <w:szCs w:val="26"/>
              </w:rPr>
            </w:pPr>
          </w:p>
        </w:tc>
      </w:tr>
    </w:tbl>
    <w:p w:rsidR="00215321" w:rsidRPr="00DC5F62" w:rsidRDefault="00215321" w:rsidP="00CB3E5F">
      <w:pPr>
        <w:jc w:val="center"/>
        <w:rPr>
          <w:sz w:val="26"/>
          <w:szCs w:val="26"/>
        </w:rPr>
      </w:pPr>
    </w:p>
    <w:sectPr w:rsidR="00215321" w:rsidRPr="00DC5F62" w:rsidSect="00236DA6">
      <w:pgSz w:w="16839" w:h="11907" w:orient="landscape"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B3" w:rsidRDefault="008C6FB3" w:rsidP="003F04D0">
      <w:r>
        <w:separator/>
      </w:r>
    </w:p>
  </w:endnote>
  <w:endnote w:type="continuationSeparator" w:id="0">
    <w:p w:rsidR="008C6FB3" w:rsidRDefault="008C6FB3" w:rsidP="003F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9D" w:rsidRDefault="00663A42" w:rsidP="00C67FDD">
    <w:pPr>
      <w:pStyle w:val="Footer"/>
      <w:framePr w:wrap="around" w:vAnchor="text" w:hAnchor="margin" w:xAlign="right" w:y="1"/>
      <w:rPr>
        <w:rStyle w:val="PageNumber"/>
      </w:rPr>
    </w:pPr>
    <w:r>
      <w:rPr>
        <w:rStyle w:val="PageNumber"/>
      </w:rPr>
      <w:fldChar w:fldCharType="begin"/>
    </w:r>
    <w:r w:rsidR="008A559D">
      <w:rPr>
        <w:rStyle w:val="PageNumber"/>
      </w:rPr>
      <w:instrText xml:space="preserve">PAGE  </w:instrText>
    </w:r>
    <w:r>
      <w:rPr>
        <w:rStyle w:val="PageNumber"/>
      </w:rPr>
      <w:fldChar w:fldCharType="end"/>
    </w:r>
  </w:p>
  <w:p w:rsidR="008A559D" w:rsidRDefault="008A559D" w:rsidP="002153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9D" w:rsidRDefault="008A559D" w:rsidP="00C67FDD">
    <w:pPr>
      <w:pStyle w:val="Footer"/>
      <w:framePr w:wrap="around" w:vAnchor="text" w:hAnchor="margin" w:xAlign="right" w:y="1"/>
      <w:rPr>
        <w:rStyle w:val="PageNumber"/>
      </w:rPr>
    </w:pPr>
  </w:p>
  <w:p w:rsidR="008A559D" w:rsidRDefault="008A559D" w:rsidP="002153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B3" w:rsidRDefault="008C6FB3" w:rsidP="003F04D0">
      <w:r>
        <w:separator/>
      </w:r>
    </w:p>
  </w:footnote>
  <w:footnote w:type="continuationSeparator" w:id="0">
    <w:p w:rsidR="008C6FB3" w:rsidRDefault="008C6FB3" w:rsidP="003F04D0">
      <w:r>
        <w:continuationSeparator/>
      </w:r>
    </w:p>
  </w:footnote>
  <w:footnote w:id="1">
    <w:p w:rsidR="00456229" w:rsidRDefault="00456229" w:rsidP="00456229">
      <w:pPr>
        <w:pStyle w:val="FootnoteText"/>
        <w:keepNext/>
        <w:widowControl w:val="0"/>
      </w:pPr>
      <w:r>
        <w:rPr>
          <w:rStyle w:val="FootnoteReference"/>
        </w:rPr>
        <w:footnoteRef/>
      </w:r>
      <w:r>
        <w:t xml:space="preserve"> Điều 26 Luật Tiêu chuẩn và quy chuẩn kỹ thuật ngày 29 tháng 6 năm 2006.</w:t>
      </w:r>
    </w:p>
  </w:footnote>
  <w:footnote w:id="2">
    <w:p w:rsidR="00456229" w:rsidRDefault="00456229" w:rsidP="00456229">
      <w:pPr>
        <w:pStyle w:val="FootnoteText"/>
        <w:keepNext/>
        <w:widowControl w:val="0"/>
        <w:jc w:val="both"/>
      </w:pPr>
      <w:r>
        <w:rPr>
          <w:rStyle w:val="FootnoteReference"/>
        </w:rPr>
        <w:footnoteRef/>
      </w:r>
      <w:r>
        <w:t xml:space="preserve"> Nội dung này được đính chính bởi Điều 1 Quyết định 815/QĐ-BTC ngày 03 tháng 6 năm 2020 của Bộ Tài chính về việc đính chính Thông tư số 27/2020/TT-BTC ngày 17 tháng 04 năm 2020 của Bộ Tài chính hướng dẫn quản lý và sử dụng kinh phí xây dựng tiêu chuẩn quốc gia và quy chuẩn kỹ thuật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EA" w:rsidRDefault="00663A42">
    <w:pPr>
      <w:pStyle w:val="Header"/>
      <w:jc w:val="center"/>
    </w:pPr>
    <w:r>
      <w:fldChar w:fldCharType="begin"/>
    </w:r>
    <w:r w:rsidR="00927B3C">
      <w:instrText xml:space="preserve"> PAGE   \* MERGEFORMAT </w:instrText>
    </w:r>
    <w:r>
      <w:fldChar w:fldCharType="separate"/>
    </w:r>
    <w:r w:rsidR="002F1B6A">
      <w:rPr>
        <w:noProof/>
      </w:rPr>
      <w:t>7</w:t>
    </w:r>
    <w:r>
      <w:rPr>
        <w:noProof/>
      </w:rPr>
      <w:fldChar w:fldCharType="end"/>
    </w:r>
  </w:p>
  <w:p w:rsidR="00B032EA" w:rsidRDefault="00B03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62E"/>
    <w:multiLevelType w:val="hybridMultilevel"/>
    <w:tmpl w:val="6F9AF6BA"/>
    <w:lvl w:ilvl="0" w:tplc="04EA01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E741F9E"/>
    <w:multiLevelType w:val="hybridMultilevel"/>
    <w:tmpl w:val="08B4436E"/>
    <w:lvl w:ilvl="0" w:tplc="1A64F4AC">
      <w:start w:val="2"/>
      <w:numFmt w:val="bullet"/>
      <w:lvlText w:val=""/>
      <w:lvlJc w:val="left"/>
      <w:pPr>
        <w:ind w:left="927" w:hanging="360"/>
      </w:pPr>
      <w:rPr>
        <w:rFonts w:ascii="Symbol" w:eastAsia="Times New Roman" w:hAnsi="Symbol" w:cs="Times New Roman" w:hint="default"/>
        <w:i/>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64751A"/>
    <w:multiLevelType w:val="hybridMultilevel"/>
    <w:tmpl w:val="AF6A23DA"/>
    <w:lvl w:ilvl="0" w:tplc="EE967C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C3767"/>
    <w:multiLevelType w:val="hybridMultilevel"/>
    <w:tmpl w:val="77EE5F12"/>
    <w:lvl w:ilvl="0" w:tplc="557E2E9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960208A"/>
    <w:multiLevelType w:val="hybridMultilevel"/>
    <w:tmpl w:val="EB84DF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202D4C"/>
    <w:multiLevelType w:val="hybridMultilevel"/>
    <w:tmpl w:val="62A85902"/>
    <w:lvl w:ilvl="0" w:tplc="FCF8630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2070CAD"/>
    <w:multiLevelType w:val="hybridMultilevel"/>
    <w:tmpl w:val="A60485EC"/>
    <w:lvl w:ilvl="0" w:tplc="5FFCE42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7AA5E14"/>
    <w:multiLevelType w:val="multilevel"/>
    <w:tmpl w:val="570266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33FF6E38"/>
    <w:multiLevelType w:val="hybridMultilevel"/>
    <w:tmpl w:val="0F489D00"/>
    <w:lvl w:ilvl="0" w:tplc="B7EC78A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8148F4"/>
    <w:multiLevelType w:val="multilevel"/>
    <w:tmpl w:val="19C272DA"/>
    <w:lvl w:ilvl="0">
      <w:start w:val="1"/>
      <w:numFmt w:val="decimal"/>
      <w:lvlText w:val="%1"/>
      <w:lvlJc w:val="left"/>
      <w:pPr>
        <w:tabs>
          <w:tab w:val="num" w:pos="855"/>
        </w:tabs>
        <w:ind w:left="855" w:hanging="855"/>
      </w:pPr>
      <w:rPr>
        <w:rFonts w:hint="default"/>
      </w:rPr>
    </w:lvl>
    <w:lvl w:ilvl="1">
      <w:numFmt w:val="decimalZero"/>
      <w:lvlText w:val="%1.%2.0"/>
      <w:lvlJc w:val="left"/>
      <w:pPr>
        <w:tabs>
          <w:tab w:val="num" w:pos="855"/>
        </w:tabs>
        <w:ind w:left="855" w:hanging="855"/>
      </w:pPr>
      <w:rPr>
        <w:rFonts w:hint="default"/>
      </w:rPr>
    </w:lvl>
    <w:lvl w:ilvl="2">
      <w:start w:val="1"/>
      <w:numFmt w:val="decimalZero"/>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7A11C50"/>
    <w:multiLevelType w:val="hybridMultilevel"/>
    <w:tmpl w:val="CAF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B1565"/>
    <w:multiLevelType w:val="hybridMultilevel"/>
    <w:tmpl w:val="0B644D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9EA5DF4"/>
    <w:multiLevelType w:val="hybridMultilevel"/>
    <w:tmpl w:val="FD680FD8"/>
    <w:lvl w:ilvl="0" w:tplc="A6FEFBF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55991CA7"/>
    <w:multiLevelType w:val="hybridMultilevel"/>
    <w:tmpl w:val="1CFA189E"/>
    <w:lvl w:ilvl="0" w:tplc="D9E0F2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210BEF"/>
    <w:multiLevelType w:val="hybridMultilevel"/>
    <w:tmpl w:val="53F0B5B8"/>
    <w:lvl w:ilvl="0" w:tplc="F43EA458">
      <w:start w:val="2"/>
      <w:numFmt w:val="bullet"/>
      <w:lvlText w:val="-"/>
      <w:lvlJc w:val="left"/>
      <w:pPr>
        <w:tabs>
          <w:tab w:val="num" w:pos="1289"/>
        </w:tabs>
        <w:ind w:left="1289" w:hanging="75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5">
    <w:nsid w:val="6E1451B9"/>
    <w:multiLevelType w:val="hybridMultilevel"/>
    <w:tmpl w:val="6BE6C96E"/>
    <w:lvl w:ilvl="0" w:tplc="B9FEBBDE">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7E73B94"/>
    <w:multiLevelType w:val="hybridMultilevel"/>
    <w:tmpl w:val="8E2E0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D64809"/>
    <w:multiLevelType w:val="hybridMultilevel"/>
    <w:tmpl w:val="6BE47FA2"/>
    <w:lvl w:ilvl="0" w:tplc="852EBAA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3067E"/>
    <w:multiLevelType w:val="hybridMultilevel"/>
    <w:tmpl w:val="F46C639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6"/>
  </w:num>
  <w:num w:numId="2">
    <w:abstractNumId w:val="17"/>
  </w:num>
  <w:num w:numId="3">
    <w:abstractNumId w:val="7"/>
  </w:num>
  <w:num w:numId="4">
    <w:abstractNumId w:val="0"/>
  </w:num>
  <w:num w:numId="5">
    <w:abstractNumId w:val="15"/>
  </w:num>
  <w:num w:numId="6">
    <w:abstractNumId w:val="3"/>
  </w:num>
  <w:num w:numId="7">
    <w:abstractNumId w:val="8"/>
  </w:num>
  <w:num w:numId="8">
    <w:abstractNumId w:val="2"/>
  </w:num>
  <w:num w:numId="9">
    <w:abstractNumId w:val="14"/>
  </w:num>
  <w:num w:numId="10">
    <w:abstractNumId w:val="13"/>
  </w:num>
  <w:num w:numId="11">
    <w:abstractNumId w:val="9"/>
  </w:num>
  <w:num w:numId="12">
    <w:abstractNumId w:val="6"/>
  </w:num>
  <w:num w:numId="13">
    <w:abstractNumId w:val="5"/>
  </w:num>
  <w:num w:numId="14">
    <w:abstractNumId w:val="12"/>
  </w:num>
  <w:num w:numId="15">
    <w:abstractNumId w:val="4"/>
  </w:num>
  <w:num w:numId="16">
    <w:abstractNumId w:val="10"/>
  </w:num>
  <w:num w:numId="17">
    <w:abstractNumId w:val="11"/>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6DDB"/>
    <w:rsid w:val="00001484"/>
    <w:rsid w:val="00006B4E"/>
    <w:rsid w:val="00015A9E"/>
    <w:rsid w:val="00024BD0"/>
    <w:rsid w:val="000264A4"/>
    <w:rsid w:val="00027750"/>
    <w:rsid w:val="000301FE"/>
    <w:rsid w:val="00030EE4"/>
    <w:rsid w:val="00041455"/>
    <w:rsid w:val="0004194C"/>
    <w:rsid w:val="00046317"/>
    <w:rsid w:val="000465A0"/>
    <w:rsid w:val="00052A26"/>
    <w:rsid w:val="00052B6A"/>
    <w:rsid w:val="0005474D"/>
    <w:rsid w:val="00057860"/>
    <w:rsid w:val="000657F5"/>
    <w:rsid w:val="00066611"/>
    <w:rsid w:val="000834B2"/>
    <w:rsid w:val="00083C83"/>
    <w:rsid w:val="000848C3"/>
    <w:rsid w:val="00094077"/>
    <w:rsid w:val="00094593"/>
    <w:rsid w:val="000A1C69"/>
    <w:rsid w:val="000B2AE5"/>
    <w:rsid w:val="000B30DF"/>
    <w:rsid w:val="000B3668"/>
    <w:rsid w:val="000B4C30"/>
    <w:rsid w:val="000B7719"/>
    <w:rsid w:val="000C1D9C"/>
    <w:rsid w:val="000C3D75"/>
    <w:rsid w:val="000C7894"/>
    <w:rsid w:val="000D499C"/>
    <w:rsid w:val="000D50EC"/>
    <w:rsid w:val="000D6DDB"/>
    <w:rsid w:val="000E3D12"/>
    <w:rsid w:val="000E41FB"/>
    <w:rsid w:val="000E44D0"/>
    <w:rsid w:val="000E4749"/>
    <w:rsid w:val="000E7755"/>
    <w:rsid w:val="000F1B67"/>
    <w:rsid w:val="0010199A"/>
    <w:rsid w:val="00104666"/>
    <w:rsid w:val="00115650"/>
    <w:rsid w:val="00115B25"/>
    <w:rsid w:val="00117F27"/>
    <w:rsid w:val="00122235"/>
    <w:rsid w:val="00125712"/>
    <w:rsid w:val="00127322"/>
    <w:rsid w:val="001276BC"/>
    <w:rsid w:val="00133936"/>
    <w:rsid w:val="00140706"/>
    <w:rsid w:val="00141D63"/>
    <w:rsid w:val="0014211C"/>
    <w:rsid w:val="00142C0B"/>
    <w:rsid w:val="00143484"/>
    <w:rsid w:val="00144156"/>
    <w:rsid w:val="00152A6F"/>
    <w:rsid w:val="001543E4"/>
    <w:rsid w:val="001554DF"/>
    <w:rsid w:val="00156D81"/>
    <w:rsid w:val="0016378B"/>
    <w:rsid w:val="00167426"/>
    <w:rsid w:val="001674E5"/>
    <w:rsid w:val="0017076F"/>
    <w:rsid w:val="001735F6"/>
    <w:rsid w:val="00174CFC"/>
    <w:rsid w:val="00175D6B"/>
    <w:rsid w:val="00176282"/>
    <w:rsid w:val="001830A4"/>
    <w:rsid w:val="001875AC"/>
    <w:rsid w:val="0019515E"/>
    <w:rsid w:val="0019559E"/>
    <w:rsid w:val="00195F83"/>
    <w:rsid w:val="001969F3"/>
    <w:rsid w:val="00197B32"/>
    <w:rsid w:val="001A16D6"/>
    <w:rsid w:val="001A1EDC"/>
    <w:rsid w:val="001A2165"/>
    <w:rsid w:val="001A2D5C"/>
    <w:rsid w:val="001A3C2E"/>
    <w:rsid w:val="001A744B"/>
    <w:rsid w:val="001A7F8A"/>
    <w:rsid w:val="001B14F7"/>
    <w:rsid w:val="001B36B7"/>
    <w:rsid w:val="001B50D7"/>
    <w:rsid w:val="001C1682"/>
    <w:rsid w:val="001C2372"/>
    <w:rsid w:val="001C5FA0"/>
    <w:rsid w:val="001D1941"/>
    <w:rsid w:val="001D581E"/>
    <w:rsid w:val="001D6AD9"/>
    <w:rsid w:val="001E3CD8"/>
    <w:rsid w:val="001E4996"/>
    <w:rsid w:val="001F3D0E"/>
    <w:rsid w:val="001F4742"/>
    <w:rsid w:val="00202F1F"/>
    <w:rsid w:val="0020765A"/>
    <w:rsid w:val="002108EE"/>
    <w:rsid w:val="002112A1"/>
    <w:rsid w:val="00214DE5"/>
    <w:rsid w:val="00215321"/>
    <w:rsid w:val="00222679"/>
    <w:rsid w:val="002234CA"/>
    <w:rsid w:val="00224688"/>
    <w:rsid w:val="002303C6"/>
    <w:rsid w:val="002306A4"/>
    <w:rsid w:val="00232E0C"/>
    <w:rsid w:val="00236DA6"/>
    <w:rsid w:val="00241706"/>
    <w:rsid w:val="00243750"/>
    <w:rsid w:val="00243956"/>
    <w:rsid w:val="00244113"/>
    <w:rsid w:val="002479C1"/>
    <w:rsid w:val="002520BC"/>
    <w:rsid w:val="00257DA7"/>
    <w:rsid w:val="002607BB"/>
    <w:rsid w:val="00261C6B"/>
    <w:rsid w:val="0026487F"/>
    <w:rsid w:val="00264BB9"/>
    <w:rsid w:val="00265A15"/>
    <w:rsid w:val="00265C3D"/>
    <w:rsid w:val="00271FA7"/>
    <w:rsid w:val="002750A8"/>
    <w:rsid w:val="002754CB"/>
    <w:rsid w:val="0027567B"/>
    <w:rsid w:val="00280EEF"/>
    <w:rsid w:val="00283C81"/>
    <w:rsid w:val="0028739D"/>
    <w:rsid w:val="00295ADA"/>
    <w:rsid w:val="00296633"/>
    <w:rsid w:val="002A238F"/>
    <w:rsid w:val="002A3343"/>
    <w:rsid w:val="002A65B7"/>
    <w:rsid w:val="002B10AA"/>
    <w:rsid w:val="002B3913"/>
    <w:rsid w:val="002B7E8D"/>
    <w:rsid w:val="002C12B4"/>
    <w:rsid w:val="002C1E40"/>
    <w:rsid w:val="002C5418"/>
    <w:rsid w:val="002C5769"/>
    <w:rsid w:val="002C6247"/>
    <w:rsid w:val="002C6DC8"/>
    <w:rsid w:val="002D0967"/>
    <w:rsid w:val="002D3240"/>
    <w:rsid w:val="002D4C10"/>
    <w:rsid w:val="002D4CBA"/>
    <w:rsid w:val="002E1059"/>
    <w:rsid w:val="002E1FC9"/>
    <w:rsid w:val="002E2528"/>
    <w:rsid w:val="002E3890"/>
    <w:rsid w:val="002E4AF1"/>
    <w:rsid w:val="002E53EA"/>
    <w:rsid w:val="002E7DA8"/>
    <w:rsid w:val="002F1149"/>
    <w:rsid w:val="002F1B6A"/>
    <w:rsid w:val="002F1FC7"/>
    <w:rsid w:val="002F3788"/>
    <w:rsid w:val="002F7A7F"/>
    <w:rsid w:val="00304B12"/>
    <w:rsid w:val="003063A0"/>
    <w:rsid w:val="00311117"/>
    <w:rsid w:val="00311747"/>
    <w:rsid w:val="00314F6D"/>
    <w:rsid w:val="00317BFD"/>
    <w:rsid w:val="003201EB"/>
    <w:rsid w:val="00321D09"/>
    <w:rsid w:val="00323D6E"/>
    <w:rsid w:val="00326ECB"/>
    <w:rsid w:val="00330906"/>
    <w:rsid w:val="003327C5"/>
    <w:rsid w:val="00334B61"/>
    <w:rsid w:val="00336D45"/>
    <w:rsid w:val="00344489"/>
    <w:rsid w:val="00345050"/>
    <w:rsid w:val="003454FF"/>
    <w:rsid w:val="00346156"/>
    <w:rsid w:val="00347369"/>
    <w:rsid w:val="003501E0"/>
    <w:rsid w:val="00350511"/>
    <w:rsid w:val="003546D3"/>
    <w:rsid w:val="00355E15"/>
    <w:rsid w:val="00356708"/>
    <w:rsid w:val="003568D7"/>
    <w:rsid w:val="00356E45"/>
    <w:rsid w:val="00367DC2"/>
    <w:rsid w:val="00370111"/>
    <w:rsid w:val="00372D8D"/>
    <w:rsid w:val="00375F1C"/>
    <w:rsid w:val="00377A5B"/>
    <w:rsid w:val="00382369"/>
    <w:rsid w:val="00383C3F"/>
    <w:rsid w:val="00384400"/>
    <w:rsid w:val="003848D6"/>
    <w:rsid w:val="00384B43"/>
    <w:rsid w:val="00385066"/>
    <w:rsid w:val="0039021D"/>
    <w:rsid w:val="00391961"/>
    <w:rsid w:val="003A53B4"/>
    <w:rsid w:val="003A6E28"/>
    <w:rsid w:val="003A716F"/>
    <w:rsid w:val="003B0E62"/>
    <w:rsid w:val="003B19BE"/>
    <w:rsid w:val="003B2E47"/>
    <w:rsid w:val="003B314F"/>
    <w:rsid w:val="003C1387"/>
    <w:rsid w:val="003C42B6"/>
    <w:rsid w:val="003C5436"/>
    <w:rsid w:val="003D36CA"/>
    <w:rsid w:val="003D451B"/>
    <w:rsid w:val="003E13AA"/>
    <w:rsid w:val="003E1EFB"/>
    <w:rsid w:val="003E4D82"/>
    <w:rsid w:val="003E6423"/>
    <w:rsid w:val="003E7A2C"/>
    <w:rsid w:val="003E7F33"/>
    <w:rsid w:val="003F04D0"/>
    <w:rsid w:val="003F28B5"/>
    <w:rsid w:val="003F2C78"/>
    <w:rsid w:val="003F649B"/>
    <w:rsid w:val="004023D0"/>
    <w:rsid w:val="00403096"/>
    <w:rsid w:val="00406ACF"/>
    <w:rsid w:val="0041072F"/>
    <w:rsid w:val="004220A3"/>
    <w:rsid w:val="00425E38"/>
    <w:rsid w:val="00426D8C"/>
    <w:rsid w:val="00430E8D"/>
    <w:rsid w:val="00431A7B"/>
    <w:rsid w:val="00431E3C"/>
    <w:rsid w:val="004324D1"/>
    <w:rsid w:val="004332BB"/>
    <w:rsid w:val="00433465"/>
    <w:rsid w:val="004343C7"/>
    <w:rsid w:val="0044135F"/>
    <w:rsid w:val="00445829"/>
    <w:rsid w:val="00447787"/>
    <w:rsid w:val="00450CAA"/>
    <w:rsid w:val="00453287"/>
    <w:rsid w:val="00456229"/>
    <w:rsid w:val="0045622C"/>
    <w:rsid w:val="00457056"/>
    <w:rsid w:val="00464048"/>
    <w:rsid w:val="0046576D"/>
    <w:rsid w:val="004817B4"/>
    <w:rsid w:val="00481E7D"/>
    <w:rsid w:val="004827DC"/>
    <w:rsid w:val="00483165"/>
    <w:rsid w:val="00487954"/>
    <w:rsid w:val="00490AE1"/>
    <w:rsid w:val="00490F32"/>
    <w:rsid w:val="004913C0"/>
    <w:rsid w:val="00493113"/>
    <w:rsid w:val="00494854"/>
    <w:rsid w:val="004A182B"/>
    <w:rsid w:val="004A6D45"/>
    <w:rsid w:val="004B1867"/>
    <w:rsid w:val="004B47F5"/>
    <w:rsid w:val="004B74CD"/>
    <w:rsid w:val="004C0FB5"/>
    <w:rsid w:val="004C2BA3"/>
    <w:rsid w:val="004C4C3F"/>
    <w:rsid w:val="004C585C"/>
    <w:rsid w:val="004C6504"/>
    <w:rsid w:val="004C7C5A"/>
    <w:rsid w:val="004D05D4"/>
    <w:rsid w:val="004D061A"/>
    <w:rsid w:val="004D1ABD"/>
    <w:rsid w:val="004D3822"/>
    <w:rsid w:val="004D5B80"/>
    <w:rsid w:val="004D6109"/>
    <w:rsid w:val="004D6D8F"/>
    <w:rsid w:val="004D70E3"/>
    <w:rsid w:val="004E0C77"/>
    <w:rsid w:val="004E2FF7"/>
    <w:rsid w:val="004E459D"/>
    <w:rsid w:val="004E467A"/>
    <w:rsid w:val="004E6360"/>
    <w:rsid w:val="004E7C93"/>
    <w:rsid w:val="004F1742"/>
    <w:rsid w:val="004F1796"/>
    <w:rsid w:val="004F51F0"/>
    <w:rsid w:val="00503813"/>
    <w:rsid w:val="00506B09"/>
    <w:rsid w:val="0051114E"/>
    <w:rsid w:val="00512822"/>
    <w:rsid w:val="00513267"/>
    <w:rsid w:val="00516369"/>
    <w:rsid w:val="00522A1F"/>
    <w:rsid w:val="005235E9"/>
    <w:rsid w:val="00523897"/>
    <w:rsid w:val="00523A4F"/>
    <w:rsid w:val="00524D15"/>
    <w:rsid w:val="005279D1"/>
    <w:rsid w:val="005309C3"/>
    <w:rsid w:val="00530D0F"/>
    <w:rsid w:val="00531498"/>
    <w:rsid w:val="00531610"/>
    <w:rsid w:val="00531AE3"/>
    <w:rsid w:val="00545AAD"/>
    <w:rsid w:val="00545B3B"/>
    <w:rsid w:val="00550850"/>
    <w:rsid w:val="00554C75"/>
    <w:rsid w:val="00557C52"/>
    <w:rsid w:val="00561462"/>
    <w:rsid w:val="00567964"/>
    <w:rsid w:val="005758A4"/>
    <w:rsid w:val="005766D0"/>
    <w:rsid w:val="005768B6"/>
    <w:rsid w:val="005808D7"/>
    <w:rsid w:val="0058150E"/>
    <w:rsid w:val="00582D3E"/>
    <w:rsid w:val="0058728F"/>
    <w:rsid w:val="0059083E"/>
    <w:rsid w:val="0059092A"/>
    <w:rsid w:val="00593CEB"/>
    <w:rsid w:val="005A029E"/>
    <w:rsid w:val="005A1498"/>
    <w:rsid w:val="005A16C1"/>
    <w:rsid w:val="005A207F"/>
    <w:rsid w:val="005A53D7"/>
    <w:rsid w:val="005B0146"/>
    <w:rsid w:val="005B093D"/>
    <w:rsid w:val="005B21E8"/>
    <w:rsid w:val="005B3A8B"/>
    <w:rsid w:val="005C2916"/>
    <w:rsid w:val="005C33E7"/>
    <w:rsid w:val="005C3E25"/>
    <w:rsid w:val="005C4B85"/>
    <w:rsid w:val="005D14A2"/>
    <w:rsid w:val="005D18F3"/>
    <w:rsid w:val="005D412A"/>
    <w:rsid w:val="005D782B"/>
    <w:rsid w:val="005E0B0B"/>
    <w:rsid w:val="005E443B"/>
    <w:rsid w:val="005E4904"/>
    <w:rsid w:val="005E556A"/>
    <w:rsid w:val="005E63E2"/>
    <w:rsid w:val="005E7344"/>
    <w:rsid w:val="005E7C7D"/>
    <w:rsid w:val="005F13CE"/>
    <w:rsid w:val="005F49E4"/>
    <w:rsid w:val="005F4DAD"/>
    <w:rsid w:val="005F5823"/>
    <w:rsid w:val="005F74A7"/>
    <w:rsid w:val="00601A80"/>
    <w:rsid w:val="00605A28"/>
    <w:rsid w:val="00615097"/>
    <w:rsid w:val="00620990"/>
    <w:rsid w:val="0062456E"/>
    <w:rsid w:val="00625165"/>
    <w:rsid w:val="0063192D"/>
    <w:rsid w:val="00632749"/>
    <w:rsid w:val="00634DF5"/>
    <w:rsid w:val="00634E26"/>
    <w:rsid w:val="006353B8"/>
    <w:rsid w:val="00636656"/>
    <w:rsid w:val="00645007"/>
    <w:rsid w:val="006453BB"/>
    <w:rsid w:val="00645F1F"/>
    <w:rsid w:val="00646489"/>
    <w:rsid w:val="00647F7B"/>
    <w:rsid w:val="00651F21"/>
    <w:rsid w:val="006573C3"/>
    <w:rsid w:val="00657A80"/>
    <w:rsid w:val="006600D3"/>
    <w:rsid w:val="00660536"/>
    <w:rsid w:val="00661177"/>
    <w:rsid w:val="00661A1E"/>
    <w:rsid w:val="00661B20"/>
    <w:rsid w:val="00662465"/>
    <w:rsid w:val="00663A42"/>
    <w:rsid w:val="00670CEC"/>
    <w:rsid w:val="00672CD5"/>
    <w:rsid w:val="006747EB"/>
    <w:rsid w:val="0067642B"/>
    <w:rsid w:val="00676D6C"/>
    <w:rsid w:val="006817A3"/>
    <w:rsid w:val="006852ED"/>
    <w:rsid w:val="0068544D"/>
    <w:rsid w:val="006861E1"/>
    <w:rsid w:val="00690D56"/>
    <w:rsid w:val="006947DE"/>
    <w:rsid w:val="006A07F1"/>
    <w:rsid w:val="006A1006"/>
    <w:rsid w:val="006A4C63"/>
    <w:rsid w:val="006A500B"/>
    <w:rsid w:val="006B0DE2"/>
    <w:rsid w:val="006B19DB"/>
    <w:rsid w:val="006B64DD"/>
    <w:rsid w:val="006B6885"/>
    <w:rsid w:val="006B6EB0"/>
    <w:rsid w:val="006C783A"/>
    <w:rsid w:val="006C7F77"/>
    <w:rsid w:val="006E0E28"/>
    <w:rsid w:val="006E5978"/>
    <w:rsid w:val="006E6572"/>
    <w:rsid w:val="006E778D"/>
    <w:rsid w:val="006E79BC"/>
    <w:rsid w:val="006F0023"/>
    <w:rsid w:val="006F041B"/>
    <w:rsid w:val="006F16A2"/>
    <w:rsid w:val="006F1D1B"/>
    <w:rsid w:val="006F3238"/>
    <w:rsid w:val="006F3F7B"/>
    <w:rsid w:val="0070387D"/>
    <w:rsid w:val="007041EA"/>
    <w:rsid w:val="00706229"/>
    <w:rsid w:val="00707436"/>
    <w:rsid w:val="007100A5"/>
    <w:rsid w:val="00710398"/>
    <w:rsid w:val="007121C4"/>
    <w:rsid w:val="007166B7"/>
    <w:rsid w:val="00717867"/>
    <w:rsid w:val="007276FC"/>
    <w:rsid w:val="00733C65"/>
    <w:rsid w:val="00735537"/>
    <w:rsid w:val="00736E4F"/>
    <w:rsid w:val="00741551"/>
    <w:rsid w:val="00743653"/>
    <w:rsid w:val="00747AA3"/>
    <w:rsid w:val="00757AC5"/>
    <w:rsid w:val="00760D3E"/>
    <w:rsid w:val="00761A79"/>
    <w:rsid w:val="007638A2"/>
    <w:rsid w:val="007661AB"/>
    <w:rsid w:val="00766DFD"/>
    <w:rsid w:val="00773011"/>
    <w:rsid w:val="00775E33"/>
    <w:rsid w:val="00775F9D"/>
    <w:rsid w:val="00781A5E"/>
    <w:rsid w:val="00782D04"/>
    <w:rsid w:val="00784607"/>
    <w:rsid w:val="00784A0B"/>
    <w:rsid w:val="00786A3E"/>
    <w:rsid w:val="00786B13"/>
    <w:rsid w:val="00787067"/>
    <w:rsid w:val="00791417"/>
    <w:rsid w:val="00794E41"/>
    <w:rsid w:val="00797AC8"/>
    <w:rsid w:val="007A05C9"/>
    <w:rsid w:val="007A1716"/>
    <w:rsid w:val="007A44B5"/>
    <w:rsid w:val="007A6369"/>
    <w:rsid w:val="007B2D1E"/>
    <w:rsid w:val="007B349B"/>
    <w:rsid w:val="007B5620"/>
    <w:rsid w:val="007B5D89"/>
    <w:rsid w:val="007C4A98"/>
    <w:rsid w:val="007C4AB6"/>
    <w:rsid w:val="007C60A4"/>
    <w:rsid w:val="007C706C"/>
    <w:rsid w:val="007D56EE"/>
    <w:rsid w:val="007D68CB"/>
    <w:rsid w:val="007E46BE"/>
    <w:rsid w:val="007F11E0"/>
    <w:rsid w:val="007F3D52"/>
    <w:rsid w:val="007F5ACB"/>
    <w:rsid w:val="00804065"/>
    <w:rsid w:val="00804857"/>
    <w:rsid w:val="008062E2"/>
    <w:rsid w:val="00806A14"/>
    <w:rsid w:val="00806F61"/>
    <w:rsid w:val="00807431"/>
    <w:rsid w:val="00807C39"/>
    <w:rsid w:val="00810003"/>
    <w:rsid w:val="00810F21"/>
    <w:rsid w:val="00811004"/>
    <w:rsid w:val="00812358"/>
    <w:rsid w:val="00812BE5"/>
    <w:rsid w:val="008208F6"/>
    <w:rsid w:val="00826817"/>
    <w:rsid w:val="008276EB"/>
    <w:rsid w:val="00833A4F"/>
    <w:rsid w:val="00836266"/>
    <w:rsid w:val="00840585"/>
    <w:rsid w:val="00840599"/>
    <w:rsid w:val="00843C38"/>
    <w:rsid w:val="00847C24"/>
    <w:rsid w:val="008532CE"/>
    <w:rsid w:val="008538F4"/>
    <w:rsid w:val="0086004C"/>
    <w:rsid w:val="00861972"/>
    <w:rsid w:val="00863533"/>
    <w:rsid w:val="00863CCE"/>
    <w:rsid w:val="008675E0"/>
    <w:rsid w:val="00870D1C"/>
    <w:rsid w:val="00873F1D"/>
    <w:rsid w:val="0087443E"/>
    <w:rsid w:val="00874444"/>
    <w:rsid w:val="00882AC4"/>
    <w:rsid w:val="008861A9"/>
    <w:rsid w:val="00892EA7"/>
    <w:rsid w:val="00894381"/>
    <w:rsid w:val="00896FDC"/>
    <w:rsid w:val="008A559D"/>
    <w:rsid w:val="008B0667"/>
    <w:rsid w:val="008B37E9"/>
    <w:rsid w:val="008B7825"/>
    <w:rsid w:val="008C0724"/>
    <w:rsid w:val="008C17E4"/>
    <w:rsid w:val="008C4C35"/>
    <w:rsid w:val="008C5702"/>
    <w:rsid w:val="008C5D94"/>
    <w:rsid w:val="008C60B9"/>
    <w:rsid w:val="008C6FB3"/>
    <w:rsid w:val="008D0494"/>
    <w:rsid w:val="008D095E"/>
    <w:rsid w:val="008D1224"/>
    <w:rsid w:val="008D169D"/>
    <w:rsid w:val="008D2793"/>
    <w:rsid w:val="008D2C44"/>
    <w:rsid w:val="008D73C6"/>
    <w:rsid w:val="008E11F6"/>
    <w:rsid w:val="008E447E"/>
    <w:rsid w:val="008E7882"/>
    <w:rsid w:val="008F198C"/>
    <w:rsid w:val="008F305E"/>
    <w:rsid w:val="008F6B9E"/>
    <w:rsid w:val="009015AD"/>
    <w:rsid w:val="00903ED9"/>
    <w:rsid w:val="00911C15"/>
    <w:rsid w:val="00913518"/>
    <w:rsid w:val="00913A50"/>
    <w:rsid w:val="00917E45"/>
    <w:rsid w:val="00923468"/>
    <w:rsid w:val="0092558A"/>
    <w:rsid w:val="00927B3C"/>
    <w:rsid w:val="00927C88"/>
    <w:rsid w:val="00934168"/>
    <w:rsid w:val="00934716"/>
    <w:rsid w:val="009420FB"/>
    <w:rsid w:val="00942AA2"/>
    <w:rsid w:val="00942DF7"/>
    <w:rsid w:val="0094327E"/>
    <w:rsid w:val="00952253"/>
    <w:rsid w:val="00954566"/>
    <w:rsid w:val="009552EE"/>
    <w:rsid w:val="0095722E"/>
    <w:rsid w:val="009622A6"/>
    <w:rsid w:val="00963AA6"/>
    <w:rsid w:val="00966E5E"/>
    <w:rsid w:val="009677CB"/>
    <w:rsid w:val="00967A01"/>
    <w:rsid w:val="00971049"/>
    <w:rsid w:val="0097271E"/>
    <w:rsid w:val="00977597"/>
    <w:rsid w:val="00977BA6"/>
    <w:rsid w:val="00986CD4"/>
    <w:rsid w:val="00990441"/>
    <w:rsid w:val="00993833"/>
    <w:rsid w:val="00993866"/>
    <w:rsid w:val="00997F4F"/>
    <w:rsid w:val="009A0689"/>
    <w:rsid w:val="009A1190"/>
    <w:rsid w:val="009A4EE1"/>
    <w:rsid w:val="009A50A1"/>
    <w:rsid w:val="009A552A"/>
    <w:rsid w:val="009A552B"/>
    <w:rsid w:val="009A7F51"/>
    <w:rsid w:val="009B43AC"/>
    <w:rsid w:val="009B538D"/>
    <w:rsid w:val="009B6C84"/>
    <w:rsid w:val="009B70A3"/>
    <w:rsid w:val="009B7836"/>
    <w:rsid w:val="009C0132"/>
    <w:rsid w:val="009C0E94"/>
    <w:rsid w:val="009C1C02"/>
    <w:rsid w:val="009C30E4"/>
    <w:rsid w:val="009C31D3"/>
    <w:rsid w:val="009C4619"/>
    <w:rsid w:val="009C505C"/>
    <w:rsid w:val="009C5F34"/>
    <w:rsid w:val="009D1E59"/>
    <w:rsid w:val="009D67F8"/>
    <w:rsid w:val="009E31D2"/>
    <w:rsid w:val="009E5AB8"/>
    <w:rsid w:val="009F22A7"/>
    <w:rsid w:val="009F3E18"/>
    <w:rsid w:val="009F572D"/>
    <w:rsid w:val="00A00327"/>
    <w:rsid w:val="00A12ECC"/>
    <w:rsid w:val="00A14C5C"/>
    <w:rsid w:val="00A22D11"/>
    <w:rsid w:val="00A22E4C"/>
    <w:rsid w:val="00A26D92"/>
    <w:rsid w:val="00A26EAD"/>
    <w:rsid w:val="00A3750B"/>
    <w:rsid w:val="00A408BE"/>
    <w:rsid w:val="00A40DBA"/>
    <w:rsid w:val="00A438DD"/>
    <w:rsid w:val="00A4493D"/>
    <w:rsid w:val="00A44F39"/>
    <w:rsid w:val="00A45A34"/>
    <w:rsid w:val="00A47663"/>
    <w:rsid w:val="00A52662"/>
    <w:rsid w:val="00A5637E"/>
    <w:rsid w:val="00A627F2"/>
    <w:rsid w:val="00A665CB"/>
    <w:rsid w:val="00A67F1D"/>
    <w:rsid w:val="00A7202C"/>
    <w:rsid w:val="00A720AC"/>
    <w:rsid w:val="00A73869"/>
    <w:rsid w:val="00A76736"/>
    <w:rsid w:val="00A8435A"/>
    <w:rsid w:val="00A93AFD"/>
    <w:rsid w:val="00A93C79"/>
    <w:rsid w:val="00A95E07"/>
    <w:rsid w:val="00AA5AE0"/>
    <w:rsid w:val="00AA5F7D"/>
    <w:rsid w:val="00AA649A"/>
    <w:rsid w:val="00AA7DE5"/>
    <w:rsid w:val="00AB0FA3"/>
    <w:rsid w:val="00AB1CD3"/>
    <w:rsid w:val="00AB1FC6"/>
    <w:rsid w:val="00AB27DC"/>
    <w:rsid w:val="00AB58BE"/>
    <w:rsid w:val="00AC1334"/>
    <w:rsid w:val="00AC2C94"/>
    <w:rsid w:val="00AC4815"/>
    <w:rsid w:val="00AC73DD"/>
    <w:rsid w:val="00AC7AD0"/>
    <w:rsid w:val="00AD61DE"/>
    <w:rsid w:val="00AD7C19"/>
    <w:rsid w:val="00AE098A"/>
    <w:rsid w:val="00AE1491"/>
    <w:rsid w:val="00AE26D1"/>
    <w:rsid w:val="00AE3088"/>
    <w:rsid w:val="00AE7DB4"/>
    <w:rsid w:val="00AF17D1"/>
    <w:rsid w:val="00AF2BA2"/>
    <w:rsid w:val="00AF4D05"/>
    <w:rsid w:val="00AF508F"/>
    <w:rsid w:val="00AF633F"/>
    <w:rsid w:val="00AF6661"/>
    <w:rsid w:val="00AF7042"/>
    <w:rsid w:val="00B032EA"/>
    <w:rsid w:val="00B04692"/>
    <w:rsid w:val="00B07395"/>
    <w:rsid w:val="00B1165F"/>
    <w:rsid w:val="00B13F70"/>
    <w:rsid w:val="00B14793"/>
    <w:rsid w:val="00B248D9"/>
    <w:rsid w:val="00B25B97"/>
    <w:rsid w:val="00B275D6"/>
    <w:rsid w:val="00B27BA6"/>
    <w:rsid w:val="00B3298A"/>
    <w:rsid w:val="00B32B7E"/>
    <w:rsid w:val="00B33B2A"/>
    <w:rsid w:val="00B363A7"/>
    <w:rsid w:val="00B371E2"/>
    <w:rsid w:val="00B37F88"/>
    <w:rsid w:val="00B42BCE"/>
    <w:rsid w:val="00B43B56"/>
    <w:rsid w:val="00B46CAD"/>
    <w:rsid w:val="00B533AA"/>
    <w:rsid w:val="00B57BD0"/>
    <w:rsid w:val="00B63C79"/>
    <w:rsid w:val="00B64665"/>
    <w:rsid w:val="00B66A2E"/>
    <w:rsid w:val="00B67583"/>
    <w:rsid w:val="00B73ABC"/>
    <w:rsid w:val="00B76372"/>
    <w:rsid w:val="00B77211"/>
    <w:rsid w:val="00B81E4F"/>
    <w:rsid w:val="00B838EE"/>
    <w:rsid w:val="00B87999"/>
    <w:rsid w:val="00B94F97"/>
    <w:rsid w:val="00B969D1"/>
    <w:rsid w:val="00B96F2C"/>
    <w:rsid w:val="00BA10E5"/>
    <w:rsid w:val="00BA1241"/>
    <w:rsid w:val="00BA52F6"/>
    <w:rsid w:val="00BA74E3"/>
    <w:rsid w:val="00BB3639"/>
    <w:rsid w:val="00BB4848"/>
    <w:rsid w:val="00BB55D6"/>
    <w:rsid w:val="00BB57D5"/>
    <w:rsid w:val="00BB63C1"/>
    <w:rsid w:val="00BC0AAC"/>
    <w:rsid w:val="00BC34D0"/>
    <w:rsid w:val="00BC7687"/>
    <w:rsid w:val="00BC7805"/>
    <w:rsid w:val="00BE0362"/>
    <w:rsid w:val="00BE309A"/>
    <w:rsid w:val="00BE34F8"/>
    <w:rsid w:val="00BE476C"/>
    <w:rsid w:val="00BE5AA0"/>
    <w:rsid w:val="00BE6F02"/>
    <w:rsid w:val="00BF0DF9"/>
    <w:rsid w:val="00BF2BA5"/>
    <w:rsid w:val="00BF2CCF"/>
    <w:rsid w:val="00BF3CCE"/>
    <w:rsid w:val="00BF58CA"/>
    <w:rsid w:val="00BF7BF8"/>
    <w:rsid w:val="00C029F9"/>
    <w:rsid w:val="00C1249A"/>
    <w:rsid w:val="00C16A03"/>
    <w:rsid w:val="00C24361"/>
    <w:rsid w:val="00C36AB1"/>
    <w:rsid w:val="00C40174"/>
    <w:rsid w:val="00C449F0"/>
    <w:rsid w:val="00C45558"/>
    <w:rsid w:val="00C45EC1"/>
    <w:rsid w:val="00C63B26"/>
    <w:rsid w:val="00C67B05"/>
    <w:rsid w:val="00C67FDD"/>
    <w:rsid w:val="00C7065B"/>
    <w:rsid w:val="00C76486"/>
    <w:rsid w:val="00C76DB7"/>
    <w:rsid w:val="00C77B6E"/>
    <w:rsid w:val="00C82148"/>
    <w:rsid w:val="00CA2116"/>
    <w:rsid w:val="00CA6BD0"/>
    <w:rsid w:val="00CB02D0"/>
    <w:rsid w:val="00CB2001"/>
    <w:rsid w:val="00CB3E5F"/>
    <w:rsid w:val="00CB5333"/>
    <w:rsid w:val="00CB5C7A"/>
    <w:rsid w:val="00CC110A"/>
    <w:rsid w:val="00CC3827"/>
    <w:rsid w:val="00CC47A4"/>
    <w:rsid w:val="00CC501D"/>
    <w:rsid w:val="00CD297C"/>
    <w:rsid w:val="00CD3516"/>
    <w:rsid w:val="00CD465B"/>
    <w:rsid w:val="00CE3651"/>
    <w:rsid w:val="00CF23DF"/>
    <w:rsid w:val="00CF2A99"/>
    <w:rsid w:val="00CF2B6A"/>
    <w:rsid w:val="00D026D8"/>
    <w:rsid w:val="00D04A2A"/>
    <w:rsid w:val="00D05F52"/>
    <w:rsid w:val="00D07D95"/>
    <w:rsid w:val="00D10A68"/>
    <w:rsid w:val="00D138ED"/>
    <w:rsid w:val="00D1485F"/>
    <w:rsid w:val="00D149F3"/>
    <w:rsid w:val="00D173FD"/>
    <w:rsid w:val="00D20066"/>
    <w:rsid w:val="00D2059B"/>
    <w:rsid w:val="00D263F6"/>
    <w:rsid w:val="00D26690"/>
    <w:rsid w:val="00D35E9D"/>
    <w:rsid w:val="00D367EB"/>
    <w:rsid w:val="00D41232"/>
    <w:rsid w:val="00D421D1"/>
    <w:rsid w:val="00D432B9"/>
    <w:rsid w:val="00D52FF1"/>
    <w:rsid w:val="00D56A52"/>
    <w:rsid w:val="00D57335"/>
    <w:rsid w:val="00D57C8E"/>
    <w:rsid w:val="00D63416"/>
    <w:rsid w:val="00D6687C"/>
    <w:rsid w:val="00D67D05"/>
    <w:rsid w:val="00D70DAB"/>
    <w:rsid w:val="00D72E3E"/>
    <w:rsid w:val="00D74AA5"/>
    <w:rsid w:val="00D7689E"/>
    <w:rsid w:val="00D77303"/>
    <w:rsid w:val="00D83586"/>
    <w:rsid w:val="00D836BE"/>
    <w:rsid w:val="00D84419"/>
    <w:rsid w:val="00D904D1"/>
    <w:rsid w:val="00D96D9A"/>
    <w:rsid w:val="00D97C37"/>
    <w:rsid w:val="00DA2D29"/>
    <w:rsid w:val="00DA5422"/>
    <w:rsid w:val="00DB4577"/>
    <w:rsid w:val="00DB5048"/>
    <w:rsid w:val="00DC00A4"/>
    <w:rsid w:val="00DC5F62"/>
    <w:rsid w:val="00DD5793"/>
    <w:rsid w:val="00DD5BE2"/>
    <w:rsid w:val="00DD795F"/>
    <w:rsid w:val="00DE0194"/>
    <w:rsid w:val="00DE2AC2"/>
    <w:rsid w:val="00DE4D1F"/>
    <w:rsid w:val="00DF1F35"/>
    <w:rsid w:val="00DF3E19"/>
    <w:rsid w:val="00DF4BAC"/>
    <w:rsid w:val="00DF7C13"/>
    <w:rsid w:val="00E01726"/>
    <w:rsid w:val="00E04DCC"/>
    <w:rsid w:val="00E056D0"/>
    <w:rsid w:val="00E0575C"/>
    <w:rsid w:val="00E10E7E"/>
    <w:rsid w:val="00E1641E"/>
    <w:rsid w:val="00E17ED3"/>
    <w:rsid w:val="00E24B8C"/>
    <w:rsid w:val="00E26E3A"/>
    <w:rsid w:val="00E30D71"/>
    <w:rsid w:val="00E32FC3"/>
    <w:rsid w:val="00E33794"/>
    <w:rsid w:val="00E3647A"/>
    <w:rsid w:val="00E37000"/>
    <w:rsid w:val="00E40D25"/>
    <w:rsid w:val="00E414D6"/>
    <w:rsid w:val="00E41B12"/>
    <w:rsid w:val="00E42543"/>
    <w:rsid w:val="00E45540"/>
    <w:rsid w:val="00E5304A"/>
    <w:rsid w:val="00E54969"/>
    <w:rsid w:val="00E54BA2"/>
    <w:rsid w:val="00E60D9A"/>
    <w:rsid w:val="00E61487"/>
    <w:rsid w:val="00E63EF9"/>
    <w:rsid w:val="00E66111"/>
    <w:rsid w:val="00E668E6"/>
    <w:rsid w:val="00E668E7"/>
    <w:rsid w:val="00E66A55"/>
    <w:rsid w:val="00E66D77"/>
    <w:rsid w:val="00E72A92"/>
    <w:rsid w:val="00E730D4"/>
    <w:rsid w:val="00E74A25"/>
    <w:rsid w:val="00E75E97"/>
    <w:rsid w:val="00E779FE"/>
    <w:rsid w:val="00E869F5"/>
    <w:rsid w:val="00E9002E"/>
    <w:rsid w:val="00E95E74"/>
    <w:rsid w:val="00E978F5"/>
    <w:rsid w:val="00E97D0C"/>
    <w:rsid w:val="00EA0654"/>
    <w:rsid w:val="00EA3AE1"/>
    <w:rsid w:val="00EA5851"/>
    <w:rsid w:val="00EB2B6B"/>
    <w:rsid w:val="00EB33DA"/>
    <w:rsid w:val="00EB3727"/>
    <w:rsid w:val="00EB4C48"/>
    <w:rsid w:val="00EB6500"/>
    <w:rsid w:val="00EB6F04"/>
    <w:rsid w:val="00EC2E4A"/>
    <w:rsid w:val="00EC564B"/>
    <w:rsid w:val="00EC6001"/>
    <w:rsid w:val="00EC69F5"/>
    <w:rsid w:val="00ED1174"/>
    <w:rsid w:val="00ED119F"/>
    <w:rsid w:val="00ED42B0"/>
    <w:rsid w:val="00EF128A"/>
    <w:rsid w:val="00EF21F5"/>
    <w:rsid w:val="00EF2FDF"/>
    <w:rsid w:val="00F16DE4"/>
    <w:rsid w:val="00F24F60"/>
    <w:rsid w:val="00F33143"/>
    <w:rsid w:val="00F33FBF"/>
    <w:rsid w:val="00F40CBB"/>
    <w:rsid w:val="00F45881"/>
    <w:rsid w:val="00F45CA1"/>
    <w:rsid w:val="00F50AAD"/>
    <w:rsid w:val="00F51ACB"/>
    <w:rsid w:val="00F551E0"/>
    <w:rsid w:val="00F63781"/>
    <w:rsid w:val="00F71A74"/>
    <w:rsid w:val="00F74536"/>
    <w:rsid w:val="00F747F9"/>
    <w:rsid w:val="00F7752F"/>
    <w:rsid w:val="00F80DB3"/>
    <w:rsid w:val="00F81C7C"/>
    <w:rsid w:val="00F8427A"/>
    <w:rsid w:val="00F858F6"/>
    <w:rsid w:val="00F85E79"/>
    <w:rsid w:val="00F90715"/>
    <w:rsid w:val="00F931F5"/>
    <w:rsid w:val="00F94647"/>
    <w:rsid w:val="00F962C9"/>
    <w:rsid w:val="00F96E06"/>
    <w:rsid w:val="00FA37B9"/>
    <w:rsid w:val="00FA3D42"/>
    <w:rsid w:val="00FA591A"/>
    <w:rsid w:val="00FA6F77"/>
    <w:rsid w:val="00FB4552"/>
    <w:rsid w:val="00FB477B"/>
    <w:rsid w:val="00FB50DF"/>
    <w:rsid w:val="00FB6BE8"/>
    <w:rsid w:val="00FC5F80"/>
    <w:rsid w:val="00FC6613"/>
    <w:rsid w:val="00FC6AC5"/>
    <w:rsid w:val="00FD3583"/>
    <w:rsid w:val="00FD66F4"/>
    <w:rsid w:val="00FF0DAF"/>
    <w:rsid w:val="00FF56DF"/>
    <w:rsid w:val="00FF5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26"/>
    <w:rPr>
      <w:rFonts w:ascii="Times New Roman" w:eastAsia="Times New Roman" w:hAnsi="Times New Roman"/>
      <w:sz w:val="24"/>
      <w:szCs w:val="24"/>
    </w:rPr>
  </w:style>
  <w:style w:type="paragraph" w:styleId="Heading1">
    <w:name w:val="heading 1"/>
    <w:basedOn w:val="Normal"/>
    <w:next w:val="Normal"/>
    <w:link w:val="Heading1Char"/>
    <w:qFormat/>
    <w:locked/>
    <w:rsid w:val="00A8435A"/>
    <w:pPr>
      <w:keepNext/>
      <w:jc w:val="center"/>
      <w:outlineLvl w:val="0"/>
    </w:pPr>
    <w:rPr>
      <w:b/>
      <w:sz w:val="26"/>
      <w:szCs w:val="20"/>
    </w:rPr>
  </w:style>
  <w:style w:type="paragraph" w:styleId="Heading2">
    <w:name w:val="heading 2"/>
    <w:basedOn w:val="Normal"/>
    <w:next w:val="Normal"/>
    <w:link w:val="Heading2Char"/>
    <w:unhideWhenUsed/>
    <w:qFormat/>
    <w:locked/>
    <w:rsid w:val="00AF17D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F5"/>
    <w:pPr>
      <w:ind w:left="720"/>
      <w:contextualSpacing/>
    </w:pPr>
  </w:style>
  <w:style w:type="table" w:styleId="TableGrid">
    <w:name w:val="Table Grid"/>
    <w:basedOn w:val="TableNormal"/>
    <w:uiPriority w:val="99"/>
    <w:rsid w:val="00DF3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F04D0"/>
    <w:rPr>
      <w:sz w:val="20"/>
      <w:szCs w:val="20"/>
    </w:rPr>
  </w:style>
  <w:style w:type="character" w:customStyle="1" w:styleId="FootnoteTextChar">
    <w:name w:val="Footnote Text Char"/>
    <w:link w:val="FootnoteText"/>
    <w:uiPriority w:val="99"/>
    <w:semiHidden/>
    <w:rsid w:val="003F04D0"/>
    <w:rPr>
      <w:rFonts w:ascii="Times New Roman" w:eastAsia="Times New Roman" w:hAnsi="Times New Roman"/>
      <w:sz w:val="20"/>
      <w:szCs w:val="20"/>
    </w:rPr>
  </w:style>
  <w:style w:type="character" w:styleId="FootnoteReference">
    <w:name w:val="footnote reference"/>
    <w:uiPriority w:val="99"/>
    <w:semiHidden/>
    <w:unhideWhenUsed/>
    <w:rsid w:val="003F04D0"/>
    <w:rPr>
      <w:vertAlign w:val="superscript"/>
    </w:rPr>
  </w:style>
  <w:style w:type="character" w:customStyle="1" w:styleId="Heading1Char">
    <w:name w:val="Heading 1 Char"/>
    <w:link w:val="Heading1"/>
    <w:rsid w:val="00A8435A"/>
    <w:rPr>
      <w:rFonts w:ascii="Times New Roman" w:eastAsia="Times New Roman" w:hAnsi="Times New Roman"/>
      <w:b/>
      <w:sz w:val="26"/>
      <w:szCs w:val="20"/>
    </w:rPr>
  </w:style>
  <w:style w:type="paragraph" w:styleId="BalloonText">
    <w:name w:val="Balloon Text"/>
    <w:basedOn w:val="Normal"/>
    <w:link w:val="BalloonTextChar"/>
    <w:uiPriority w:val="99"/>
    <w:semiHidden/>
    <w:unhideWhenUsed/>
    <w:rsid w:val="0019559E"/>
    <w:rPr>
      <w:rFonts w:ascii="Segoe UI" w:hAnsi="Segoe UI"/>
      <w:sz w:val="18"/>
      <w:szCs w:val="18"/>
    </w:rPr>
  </w:style>
  <w:style w:type="character" w:customStyle="1" w:styleId="BalloonTextChar">
    <w:name w:val="Balloon Text Char"/>
    <w:link w:val="BalloonText"/>
    <w:uiPriority w:val="99"/>
    <w:semiHidden/>
    <w:rsid w:val="0019559E"/>
    <w:rPr>
      <w:rFonts w:ascii="Segoe UI" w:eastAsia="Times New Roman" w:hAnsi="Segoe UI" w:cs="Segoe UI"/>
      <w:sz w:val="18"/>
      <w:szCs w:val="18"/>
    </w:rPr>
  </w:style>
  <w:style w:type="paragraph" w:styleId="Header">
    <w:name w:val="header"/>
    <w:basedOn w:val="Normal"/>
    <w:link w:val="HeaderChar"/>
    <w:uiPriority w:val="99"/>
    <w:unhideWhenUsed/>
    <w:rsid w:val="00550850"/>
    <w:pPr>
      <w:tabs>
        <w:tab w:val="center" w:pos="4680"/>
        <w:tab w:val="right" w:pos="9360"/>
      </w:tabs>
    </w:pPr>
  </w:style>
  <w:style w:type="character" w:customStyle="1" w:styleId="HeaderChar">
    <w:name w:val="Header Char"/>
    <w:link w:val="Header"/>
    <w:uiPriority w:val="99"/>
    <w:rsid w:val="00550850"/>
    <w:rPr>
      <w:rFonts w:ascii="Times New Roman" w:eastAsia="Times New Roman" w:hAnsi="Times New Roman"/>
      <w:sz w:val="24"/>
      <w:szCs w:val="24"/>
    </w:rPr>
  </w:style>
  <w:style w:type="paragraph" w:styleId="Footer">
    <w:name w:val="footer"/>
    <w:basedOn w:val="Normal"/>
    <w:link w:val="FooterChar"/>
    <w:uiPriority w:val="99"/>
    <w:unhideWhenUsed/>
    <w:rsid w:val="00550850"/>
    <w:pPr>
      <w:tabs>
        <w:tab w:val="center" w:pos="4680"/>
        <w:tab w:val="right" w:pos="9360"/>
      </w:tabs>
    </w:pPr>
  </w:style>
  <w:style w:type="character" w:customStyle="1" w:styleId="FooterChar">
    <w:name w:val="Footer Char"/>
    <w:link w:val="Footer"/>
    <w:uiPriority w:val="99"/>
    <w:rsid w:val="00550850"/>
    <w:rPr>
      <w:rFonts w:ascii="Times New Roman" w:eastAsia="Times New Roman" w:hAnsi="Times New Roman"/>
      <w:sz w:val="24"/>
      <w:szCs w:val="24"/>
    </w:rPr>
  </w:style>
  <w:style w:type="paragraph" w:styleId="NormalWeb">
    <w:name w:val="Normal (Web)"/>
    <w:aliases w:val=" Char Char Char,Char1 Char,Char11 Char"/>
    <w:basedOn w:val="Normal"/>
    <w:link w:val="NormalWebChar"/>
    <w:uiPriority w:val="99"/>
    <w:qFormat/>
    <w:rsid w:val="005A029E"/>
    <w:pPr>
      <w:spacing w:before="100" w:beforeAutospacing="1" w:after="100" w:afterAutospacing="1"/>
    </w:pPr>
  </w:style>
  <w:style w:type="character" w:styleId="PageNumber">
    <w:name w:val="page number"/>
    <w:basedOn w:val="DefaultParagraphFont"/>
    <w:rsid w:val="005A029E"/>
  </w:style>
  <w:style w:type="character" w:customStyle="1" w:styleId="Bodytext3">
    <w:name w:val="Body text (3)_"/>
    <w:link w:val="Bodytext31"/>
    <w:locked/>
    <w:rsid w:val="002F7A7F"/>
    <w:rPr>
      <w:i/>
      <w:iCs/>
      <w:shd w:val="clear" w:color="auto" w:fill="FFFFFF"/>
      <w:lang w:bidi="ar-SA"/>
    </w:rPr>
  </w:style>
  <w:style w:type="paragraph" w:customStyle="1" w:styleId="Bodytext31">
    <w:name w:val="Body text (3)1"/>
    <w:basedOn w:val="Normal"/>
    <w:link w:val="Bodytext3"/>
    <w:rsid w:val="002F7A7F"/>
    <w:pPr>
      <w:widowControl w:val="0"/>
      <w:shd w:val="clear" w:color="auto" w:fill="FFFFFF"/>
      <w:spacing w:before="120" w:after="360" w:line="240" w:lineRule="atLeast"/>
      <w:jc w:val="both"/>
    </w:pPr>
    <w:rPr>
      <w:rFonts w:ascii="Calibri" w:eastAsia="Calibri" w:hAnsi="Calibri"/>
      <w:i/>
      <w:iCs/>
      <w:sz w:val="20"/>
      <w:szCs w:val="20"/>
      <w:shd w:val="clear" w:color="auto" w:fill="FFFFFF"/>
    </w:rPr>
  </w:style>
  <w:style w:type="character" w:customStyle="1" w:styleId="Bodytext3NotItalic">
    <w:name w:val="Body text (3) + Not Italic"/>
    <w:rsid w:val="002F7A7F"/>
    <w:rPr>
      <w:i/>
      <w:iCs/>
      <w:shd w:val="clear" w:color="auto" w:fill="FFFFFF"/>
      <w:lang w:bidi="ar-SA"/>
    </w:rPr>
  </w:style>
  <w:style w:type="character" w:customStyle="1" w:styleId="Bodytext30">
    <w:name w:val="Body text (3)"/>
    <w:rsid w:val="002F7A7F"/>
    <w:rPr>
      <w:i/>
      <w:iCs/>
      <w:u w:val="single"/>
      <w:shd w:val="clear" w:color="auto" w:fill="FFFFFF"/>
      <w:lang w:bidi="ar-SA"/>
    </w:rPr>
  </w:style>
  <w:style w:type="character" w:customStyle="1" w:styleId="Bodytext2">
    <w:name w:val="Body text (2)_"/>
    <w:link w:val="Bodytext21"/>
    <w:locked/>
    <w:rsid w:val="008208F6"/>
    <w:rPr>
      <w:shd w:val="clear" w:color="auto" w:fill="FFFFFF"/>
      <w:lang w:bidi="ar-SA"/>
    </w:rPr>
  </w:style>
  <w:style w:type="paragraph" w:customStyle="1" w:styleId="Bodytext21">
    <w:name w:val="Body text (2)1"/>
    <w:basedOn w:val="Normal"/>
    <w:link w:val="Bodytext2"/>
    <w:rsid w:val="008208F6"/>
    <w:pPr>
      <w:widowControl w:val="0"/>
      <w:shd w:val="clear" w:color="auto" w:fill="FFFFFF"/>
      <w:spacing w:after="120" w:line="299" w:lineRule="exact"/>
      <w:ind w:hanging="1940"/>
    </w:pPr>
    <w:rPr>
      <w:rFonts w:ascii="Calibri" w:eastAsia="Calibri" w:hAnsi="Calibri"/>
      <w:sz w:val="20"/>
      <w:szCs w:val="20"/>
      <w:shd w:val="clear" w:color="auto" w:fill="FFFFFF"/>
    </w:rPr>
  </w:style>
  <w:style w:type="character" w:customStyle="1" w:styleId="Bodytext">
    <w:name w:val="Body text_"/>
    <w:link w:val="BodyText1"/>
    <w:rsid w:val="008208F6"/>
    <w:rPr>
      <w:spacing w:val="2"/>
      <w:sz w:val="26"/>
      <w:szCs w:val="26"/>
      <w:shd w:val="clear" w:color="auto" w:fill="FFFFFF"/>
      <w:lang w:bidi="ar-SA"/>
    </w:rPr>
  </w:style>
  <w:style w:type="paragraph" w:customStyle="1" w:styleId="BodyText1">
    <w:name w:val="Body Text1"/>
    <w:basedOn w:val="Normal"/>
    <w:link w:val="Bodytext"/>
    <w:rsid w:val="008208F6"/>
    <w:pPr>
      <w:widowControl w:val="0"/>
      <w:shd w:val="clear" w:color="auto" w:fill="FFFFFF"/>
      <w:spacing w:after="180" w:line="240" w:lineRule="atLeast"/>
      <w:jc w:val="both"/>
    </w:pPr>
    <w:rPr>
      <w:rFonts w:ascii="Calibri" w:eastAsia="Calibri" w:hAnsi="Calibri"/>
      <w:spacing w:val="2"/>
      <w:sz w:val="26"/>
      <w:szCs w:val="26"/>
      <w:shd w:val="clear" w:color="auto" w:fill="FFFFFF"/>
    </w:rPr>
  </w:style>
  <w:style w:type="paragraph" w:styleId="BlockText">
    <w:name w:val="Block Text"/>
    <w:basedOn w:val="Normal"/>
    <w:rsid w:val="00A22E4C"/>
    <w:pPr>
      <w:ind w:left="-283" w:right="284" w:hanging="142"/>
      <w:jc w:val="both"/>
    </w:pPr>
    <w:rPr>
      <w:rFonts w:ascii=".VnTime" w:hAnsi=".VnTime"/>
      <w:color w:val="000080"/>
      <w:szCs w:val="20"/>
    </w:rPr>
  </w:style>
  <w:style w:type="paragraph" w:styleId="BodyText0">
    <w:name w:val="Body Text"/>
    <w:basedOn w:val="Normal"/>
    <w:rsid w:val="005E7344"/>
    <w:pPr>
      <w:spacing w:after="120"/>
    </w:pPr>
    <w:rPr>
      <w:rFonts w:ascii=".VnTime" w:eastAsia="SimSun" w:hAnsi=".VnTime"/>
      <w:color w:val="000000"/>
      <w:sz w:val="28"/>
      <w:szCs w:val="28"/>
    </w:rPr>
  </w:style>
  <w:style w:type="character" w:styleId="Strong">
    <w:name w:val="Strong"/>
    <w:qFormat/>
    <w:locked/>
    <w:rsid w:val="00CA6BD0"/>
    <w:rPr>
      <w:b/>
      <w:bCs/>
    </w:rPr>
  </w:style>
  <w:style w:type="character" w:styleId="Emphasis">
    <w:name w:val="Emphasis"/>
    <w:qFormat/>
    <w:locked/>
    <w:rsid w:val="005768B6"/>
    <w:rPr>
      <w:i/>
      <w:iCs/>
    </w:rPr>
  </w:style>
  <w:style w:type="character" w:styleId="Hyperlink">
    <w:name w:val="Hyperlink"/>
    <w:uiPriority w:val="99"/>
    <w:semiHidden/>
    <w:unhideWhenUsed/>
    <w:rsid w:val="00C76DB7"/>
    <w:rPr>
      <w:color w:val="0000FF"/>
      <w:u w:val="single"/>
    </w:rPr>
  </w:style>
  <w:style w:type="paragraph" w:styleId="BodyTextIndent2">
    <w:name w:val="Body Text Indent 2"/>
    <w:basedOn w:val="Normal"/>
    <w:rsid w:val="00104666"/>
    <w:pPr>
      <w:spacing w:after="120" w:line="480" w:lineRule="auto"/>
      <w:ind w:left="360"/>
    </w:pPr>
  </w:style>
  <w:style w:type="character" w:customStyle="1" w:styleId="NormalWebChar">
    <w:name w:val="Normal (Web) Char"/>
    <w:aliases w:val=" Char Char Char Char,Char1 Char Char,Char11 Char Char"/>
    <w:link w:val="NormalWeb"/>
    <w:locked/>
    <w:rsid w:val="00CB3E5F"/>
    <w:rPr>
      <w:rFonts w:ascii="Times New Roman" w:eastAsia="Times New Roman" w:hAnsi="Times New Roman"/>
      <w:sz w:val="24"/>
      <w:szCs w:val="24"/>
    </w:rPr>
  </w:style>
  <w:style w:type="character" w:customStyle="1" w:styleId="Heading2Char">
    <w:name w:val="Heading 2 Char"/>
    <w:link w:val="Heading2"/>
    <w:rsid w:val="00AF17D1"/>
    <w:rPr>
      <w:rFonts w:ascii="Calibri Light" w:eastAsia="Times New Roman" w:hAnsi="Calibri Light" w:cs="Times New Roman"/>
      <w:b/>
      <w:bCs/>
      <w:i/>
      <w:iCs/>
      <w:sz w:val="28"/>
      <w:szCs w:val="28"/>
    </w:rPr>
  </w:style>
  <w:style w:type="paragraph" w:styleId="BodyText32">
    <w:name w:val="Body Text 3"/>
    <w:basedOn w:val="Normal"/>
    <w:link w:val="BodyText3Char"/>
    <w:uiPriority w:val="99"/>
    <w:semiHidden/>
    <w:unhideWhenUsed/>
    <w:rsid w:val="00593CEB"/>
    <w:pPr>
      <w:spacing w:after="120"/>
    </w:pPr>
    <w:rPr>
      <w:sz w:val="16"/>
      <w:szCs w:val="16"/>
    </w:rPr>
  </w:style>
  <w:style w:type="character" w:customStyle="1" w:styleId="BodyText3Char">
    <w:name w:val="Body Text 3 Char"/>
    <w:basedOn w:val="DefaultParagraphFont"/>
    <w:link w:val="BodyText32"/>
    <w:uiPriority w:val="99"/>
    <w:semiHidden/>
    <w:rsid w:val="00593CEB"/>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240">
      <w:bodyDiv w:val="1"/>
      <w:marLeft w:val="0"/>
      <w:marRight w:val="0"/>
      <w:marTop w:val="0"/>
      <w:marBottom w:val="0"/>
      <w:divBdr>
        <w:top w:val="none" w:sz="0" w:space="0" w:color="auto"/>
        <w:left w:val="none" w:sz="0" w:space="0" w:color="auto"/>
        <w:bottom w:val="none" w:sz="0" w:space="0" w:color="auto"/>
        <w:right w:val="none" w:sz="0" w:space="0" w:color="auto"/>
      </w:divBdr>
    </w:div>
    <w:div w:id="508253900">
      <w:bodyDiv w:val="1"/>
      <w:marLeft w:val="0"/>
      <w:marRight w:val="0"/>
      <w:marTop w:val="0"/>
      <w:marBottom w:val="0"/>
      <w:divBdr>
        <w:top w:val="none" w:sz="0" w:space="0" w:color="auto"/>
        <w:left w:val="none" w:sz="0" w:space="0" w:color="auto"/>
        <w:bottom w:val="none" w:sz="0" w:space="0" w:color="auto"/>
        <w:right w:val="none" w:sz="0" w:space="0" w:color="auto"/>
      </w:divBdr>
    </w:div>
    <w:div w:id="567695244">
      <w:bodyDiv w:val="1"/>
      <w:marLeft w:val="0"/>
      <w:marRight w:val="0"/>
      <w:marTop w:val="0"/>
      <w:marBottom w:val="0"/>
      <w:divBdr>
        <w:top w:val="none" w:sz="0" w:space="0" w:color="auto"/>
        <w:left w:val="none" w:sz="0" w:space="0" w:color="auto"/>
        <w:bottom w:val="none" w:sz="0" w:space="0" w:color="auto"/>
        <w:right w:val="none" w:sz="0" w:space="0" w:color="auto"/>
      </w:divBdr>
    </w:div>
    <w:div w:id="587009732">
      <w:bodyDiv w:val="1"/>
      <w:marLeft w:val="0"/>
      <w:marRight w:val="0"/>
      <w:marTop w:val="0"/>
      <w:marBottom w:val="0"/>
      <w:divBdr>
        <w:top w:val="none" w:sz="0" w:space="0" w:color="auto"/>
        <w:left w:val="none" w:sz="0" w:space="0" w:color="auto"/>
        <w:bottom w:val="none" w:sz="0" w:space="0" w:color="auto"/>
        <w:right w:val="none" w:sz="0" w:space="0" w:color="auto"/>
      </w:divBdr>
    </w:div>
    <w:div w:id="617834512">
      <w:bodyDiv w:val="1"/>
      <w:marLeft w:val="0"/>
      <w:marRight w:val="0"/>
      <w:marTop w:val="0"/>
      <w:marBottom w:val="0"/>
      <w:divBdr>
        <w:top w:val="none" w:sz="0" w:space="0" w:color="auto"/>
        <w:left w:val="none" w:sz="0" w:space="0" w:color="auto"/>
        <w:bottom w:val="none" w:sz="0" w:space="0" w:color="auto"/>
        <w:right w:val="none" w:sz="0" w:space="0" w:color="auto"/>
      </w:divBdr>
    </w:div>
    <w:div w:id="654988668">
      <w:bodyDiv w:val="1"/>
      <w:marLeft w:val="0"/>
      <w:marRight w:val="0"/>
      <w:marTop w:val="0"/>
      <w:marBottom w:val="0"/>
      <w:divBdr>
        <w:top w:val="none" w:sz="0" w:space="0" w:color="auto"/>
        <w:left w:val="none" w:sz="0" w:space="0" w:color="auto"/>
        <w:bottom w:val="none" w:sz="0" w:space="0" w:color="auto"/>
        <w:right w:val="none" w:sz="0" w:space="0" w:color="auto"/>
      </w:divBdr>
    </w:div>
    <w:div w:id="990138428">
      <w:bodyDiv w:val="1"/>
      <w:marLeft w:val="0"/>
      <w:marRight w:val="0"/>
      <w:marTop w:val="0"/>
      <w:marBottom w:val="0"/>
      <w:divBdr>
        <w:top w:val="none" w:sz="0" w:space="0" w:color="auto"/>
        <w:left w:val="none" w:sz="0" w:space="0" w:color="auto"/>
        <w:bottom w:val="none" w:sz="0" w:space="0" w:color="auto"/>
        <w:right w:val="none" w:sz="0" w:space="0" w:color="auto"/>
      </w:divBdr>
    </w:div>
    <w:div w:id="1255941346">
      <w:bodyDiv w:val="1"/>
      <w:marLeft w:val="0"/>
      <w:marRight w:val="0"/>
      <w:marTop w:val="0"/>
      <w:marBottom w:val="0"/>
      <w:divBdr>
        <w:top w:val="none" w:sz="0" w:space="0" w:color="auto"/>
        <w:left w:val="none" w:sz="0" w:space="0" w:color="auto"/>
        <w:bottom w:val="none" w:sz="0" w:space="0" w:color="auto"/>
        <w:right w:val="none" w:sz="0" w:space="0" w:color="auto"/>
      </w:divBdr>
    </w:div>
    <w:div w:id="1440030484">
      <w:bodyDiv w:val="1"/>
      <w:marLeft w:val="0"/>
      <w:marRight w:val="0"/>
      <w:marTop w:val="0"/>
      <w:marBottom w:val="0"/>
      <w:divBdr>
        <w:top w:val="none" w:sz="0" w:space="0" w:color="auto"/>
        <w:left w:val="none" w:sz="0" w:space="0" w:color="auto"/>
        <w:bottom w:val="none" w:sz="0" w:space="0" w:color="auto"/>
        <w:right w:val="none" w:sz="0" w:space="0" w:color="auto"/>
      </w:divBdr>
    </w:div>
    <w:div w:id="1443378513">
      <w:bodyDiv w:val="1"/>
      <w:marLeft w:val="0"/>
      <w:marRight w:val="0"/>
      <w:marTop w:val="0"/>
      <w:marBottom w:val="0"/>
      <w:divBdr>
        <w:top w:val="none" w:sz="0" w:space="0" w:color="auto"/>
        <w:left w:val="none" w:sz="0" w:space="0" w:color="auto"/>
        <w:bottom w:val="none" w:sz="0" w:space="0" w:color="auto"/>
        <w:right w:val="none" w:sz="0" w:space="0" w:color="auto"/>
      </w:divBdr>
    </w:div>
    <w:div w:id="1964262854">
      <w:bodyDiv w:val="1"/>
      <w:marLeft w:val="0"/>
      <w:marRight w:val="0"/>
      <w:marTop w:val="0"/>
      <w:marBottom w:val="0"/>
      <w:divBdr>
        <w:top w:val="none" w:sz="0" w:space="0" w:color="auto"/>
        <w:left w:val="none" w:sz="0" w:space="0" w:color="auto"/>
        <w:bottom w:val="none" w:sz="0" w:space="0" w:color="auto"/>
        <w:right w:val="none" w:sz="0" w:space="0" w:color="auto"/>
      </w:divBdr>
    </w:div>
    <w:div w:id="2118985794">
      <w:bodyDiv w:val="1"/>
      <w:marLeft w:val="0"/>
      <w:marRight w:val="0"/>
      <w:marTop w:val="0"/>
      <w:marBottom w:val="0"/>
      <w:divBdr>
        <w:top w:val="none" w:sz="0" w:space="0" w:color="auto"/>
        <w:left w:val="none" w:sz="0" w:space="0" w:color="auto"/>
        <w:bottom w:val="none" w:sz="0" w:space="0" w:color="auto"/>
        <w:right w:val="none" w:sz="0" w:space="0" w:color="auto"/>
      </w:divBdr>
    </w:div>
    <w:div w:id="21235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DDYPFUVZ5X6F-6-4712</_dlc_DocId>
    <_dlc_DocIdUrl xmlns="ae4e42cd-c673-4541-a17d-d353a4125f5e">
      <Url>https://dbdc.backan.gov.vn/_layouts/15/DocIdRedir.aspx?ID=DDYPFUVZ5X6F-6-4712</Url>
      <Description>DDYPFUVZ5X6F-6-4712</Description>
    </_dlc_DocIdUrl>
  </documentManagement>
</p:properties>
</file>

<file path=customXml/itemProps1.xml><?xml version="1.0" encoding="utf-8"?>
<ds:datastoreItem xmlns:ds="http://schemas.openxmlformats.org/officeDocument/2006/customXml" ds:itemID="{2D37D775-3C23-44D2-9318-805A7477B2E9}"/>
</file>

<file path=customXml/itemProps2.xml><?xml version="1.0" encoding="utf-8"?>
<ds:datastoreItem xmlns:ds="http://schemas.openxmlformats.org/officeDocument/2006/customXml" ds:itemID="{10258B89-46B2-41A5-83D2-AB13B9A492FA}"/>
</file>

<file path=customXml/itemProps3.xml><?xml version="1.0" encoding="utf-8"?>
<ds:datastoreItem xmlns:ds="http://schemas.openxmlformats.org/officeDocument/2006/customXml" ds:itemID="{0EE62EAC-A6E0-402C-96BB-C96F45DF53AE}"/>
</file>

<file path=customXml/itemProps4.xml><?xml version="1.0" encoding="utf-8"?>
<ds:datastoreItem xmlns:ds="http://schemas.openxmlformats.org/officeDocument/2006/customXml" ds:itemID="{969155D8-3D07-4026-BA8C-D94CEF340E17}"/>
</file>

<file path=customXml/itemProps5.xml><?xml version="1.0" encoding="utf-8"?>
<ds:datastoreItem xmlns:ds="http://schemas.openxmlformats.org/officeDocument/2006/customXml" ds:itemID="{F9324672-A15A-492F-B9EE-2B09F0E228E6}"/>
</file>

<file path=docProps/app.xml><?xml version="1.0" encoding="utf-8"?>
<Properties xmlns="http://schemas.openxmlformats.org/officeDocument/2006/extended-properties" xmlns:vt="http://schemas.openxmlformats.org/officeDocument/2006/docPropsVTypes">
  <Template>Normal.dotm</Template>
  <TotalTime>4</TotalTime>
  <Pages>11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Phan Danh</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creator>NP-COMPUTER</dc:creator>
  <cp:lastModifiedBy>Admin</cp:lastModifiedBy>
  <cp:revision>21</cp:revision>
  <cp:lastPrinted>2022-07-26T08:52:00Z</cp:lastPrinted>
  <dcterms:created xsi:type="dcterms:W3CDTF">2022-10-28T04:19:00Z</dcterms:created>
  <dcterms:modified xsi:type="dcterms:W3CDTF">2022-11-10T01:05:00Z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d3aeb67c-fa35-4b7a-81fe-8e6ee7987689</vt:lpwstr>
  </property>
</Properties>
</file>