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1395" w14:textId="77777777" w:rsidR="001D0D76" w:rsidRDefault="00441DA4" w:rsidP="00B77FB2">
      <w:pPr>
        <w:spacing w:before="80" w:after="80" w:line="360" w:lineRule="exact"/>
        <w:jc w:val="center"/>
        <w:rPr>
          <w:b/>
          <w:spacing w:val="-14"/>
          <w:sz w:val="26"/>
          <w:szCs w:val="26"/>
        </w:rPr>
      </w:pPr>
      <w:r w:rsidRPr="00627846">
        <w:rPr>
          <w:b/>
          <w:spacing w:val="-14"/>
          <w:sz w:val="26"/>
          <w:szCs w:val="26"/>
        </w:rPr>
        <w:t>BÁO CÁO THUYẾT MINH</w:t>
      </w:r>
      <w:r w:rsidR="001D0D76">
        <w:rPr>
          <w:b/>
          <w:spacing w:val="-14"/>
          <w:sz w:val="26"/>
          <w:szCs w:val="26"/>
        </w:rPr>
        <w:t xml:space="preserve"> </w:t>
      </w:r>
    </w:p>
    <w:p w14:paraId="11EB1499" w14:textId="6C055564" w:rsidR="00441DA4" w:rsidRPr="00F27921" w:rsidRDefault="00441DA4" w:rsidP="00B77FB2">
      <w:pPr>
        <w:spacing w:before="80" w:after="80" w:line="360" w:lineRule="exact"/>
        <w:jc w:val="center"/>
        <w:rPr>
          <w:rFonts w:ascii="Times New Roman Bold" w:hAnsi="Times New Roman Bold"/>
          <w:i/>
          <w:spacing w:val="-4"/>
          <w:szCs w:val="28"/>
        </w:rPr>
      </w:pPr>
      <w:r w:rsidRPr="00F27921">
        <w:rPr>
          <w:i/>
          <w:spacing w:val="-4"/>
          <w:szCs w:val="28"/>
        </w:rPr>
        <w:t xml:space="preserve">(Kèm theo Tờ trình số </w:t>
      </w:r>
      <w:r w:rsidR="00F27921" w:rsidRPr="00F27921">
        <w:rPr>
          <w:i/>
          <w:spacing w:val="-4"/>
          <w:szCs w:val="28"/>
        </w:rPr>
        <w:t xml:space="preserve">      </w:t>
      </w:r>
      <w:r w:rsidRPr="00F27921">
        <w:rPr>
          <w:i/>
          <w:spacing w:val="-4"/>
          <w:szCs w:val="28"/>
        </w:rPr>
        <w:t xml:space="preserve"> /TTr-UBND ngày  </w:t>
      </w:r>
      <w:r w:rsidR="00F27921" w:rsidRPr="00F27921">
        <w:rPr>
          <w:i/>
          <w:spacing w:val="-4"/>
          <w:szCs w:val="28"/>
        </w:rPr>
        <w:t xml:space="preserve">   </w:t>
      </w:r>
      <w:r w:rsidRPr="00F27921">
        <w:rPr>
          <w:i/>
          <w:spacing w:val="-4"/>
          <w:szCs w:val="28"/>
        </w:rPr>
        <w:t xml:space="preserve"> tháng</w:t>
      </w:r>
      <w:r w:rsidR="00122DE7" w:rsidRPr="00F27921">
        <w:rPr>
          <w:i/>
          <w:spacing w:val="-4"/>
          <w:szCs w:val="28"/>
        </w:rPr>
        <w:t xml:space="preserve"> </w:t>
      </w:r>
      <w:r w:rsidR="000C3238" w:rsidRPr="00F27921">
        <w:rPr>
          <w:i/>
          <w:spacing w:val="-4"/>
          <w:szCs w:val="28"/>
        </w:rPr>
        <w:t>9</w:t>
      </w:r>
      <w:r w:rsidRPr="00F27921">
        <w:rPr>
          <w:i/>
          <w:spacing w:val="-4"/>
          <w:szCs w:val="28"/>
        </w:rPr>
        <w:t xml:space="preserve"> năm 20</w:t>
      </w:r>
      <w:r w:rsidR="00122DE7" w:rsidRPr="00F27921">
        <w:rPr>
          <w:i/>
          <w:spacing w:val="-4"/>
          <w:szCs w:val="28"/>
        </w:rPr>
        <w:t xml:space="preserve">22 </w:t>
      </w:r>
      <w:r w:rsidRPr="00F27921">
        <w:rPr>
          <w:i/>
          <w:spacing w:val="-4"/>
          <w:szCs w:val="28"/>
        </w:rPr>
        <w:t xml:space="preserve">của </w:t>
      </w:r>
      <w:r w:rsidR="00F27921" w:rsidRPr="00F27921">
        <w:rPr>
          <w:i/>
          <w:spacing w:val="-4"/>
          <w:szCs w:val="28"/>
        </w:rPr>
        <w:t>UBND</w:t>
      </w:r>
      <w:r w:rsidRPr="00F27921">
        <w:rPr>
          <w:i/>
          <w:spacing w:val="-4"/>
          <w:szCs w:val="28"/>
        </w:rPr>
        <w:t xml:space="preserve"> tỉnh</w:t>
      </w:r>
      <w:r w:rsidR="00F27921" w:rsidRPr="00F27921">
        <w:rPr>
          <w:i/>
          <w:spacing w:val="-4"/>
          <w:szCs w:val="28"/>
        </w:rPr>
        <w:t>)</w:t>
      </w:r>
      <w:r w:rsidRPr="00F27921">
        <w:rPr>
          <w:i/>
          <w:spacing w:val="-4"/>
          <w:szCs w:val="28"/>
        </w:rPr>
        <w:t xml:space="preserve"> </w:t>
      </w:r>
    </w:p>
    <w:p w14:paraId="0281E06B" w14:textId="115E9073" w:rsidR="00892C92" w:rsidRPr="00770B87" w:rsidRDefault="00892C92" w:rsidP="00770B87">
      <w:pPr>
        <w:spacing w:after="0" w:line="240" w:lineRule="auto"/>
        <w:ind w:firstLine="720"/>
        <w:jc w:val="both"/>
        <w:rPr>
          <w:b/>
          <w:spacing w:val="-14"/>
          <w:sz w:val="10"/>
          <w:szCs w:val="10"/>
        </w:rPr>
      </w:pPr>
    </w:p>
    <w:p w14:paraId="4B8B0A24" w14:textId="0E7E9EE1" w:rsidR="00892C92" w:rsidRPr="00F27921" w:rsidRDefault="00592AF9" w:rsidP="00B77FB2">
      <w:pPr>
        <w:spacing w:before="120" w:after="120" w:line="360" w:lineRule="exact"/>
        <w:ind w:firstLine="720"/>
        <w:jc w:val="both"/>
        <w:rPr>
          <w:rFonts w:ascii="Times New Roman Bold" w:hAnsi="Times New Roman Bold"/>
          <w:b/>
          <w:szCs w:val="28"/>
        </w:rPr>
      </w:pPr>
      <w:r w:rsidRPr="00F27921">
        <w:rPr>
          <w:rFonts w:ascii="Times New Roman Bold" w:hAnsi="Times New Roman Bold"/>
          <w:b/>
          <w:szCs w:val="28"/>
        </w:rPr>
        <w:t>1</w:t>
      </w:r>
      <w:r w:rsidR="00892C92" w:rsidRPr="00F27921">
        <w:rPr>
          <w:rFonts w:ascii="Times New Roman Bold" w:hAnsi="Times New Roman Bold"/>
          <w:b/>
          <w:szCs w:val="28"/>
        </w:rPr>
        <w:t xml:space="preserve">. </w:t>
      </w:r>
      <w:r w:rsidR="00463EE5" w:rsidRPr="00F27921">
        <w:rPr>
          <w:rFonts w:ascii="Times New Roman Bold" w:hAnsi="Times New Roman Bold"/>
          <w:b/>
          <w:szCs w:val="28"/>
        </w:rPr>
        <w:t xml:space="preserve"> Kinh phí chi </w:t>
      </w:r>
      <w:r w:rsidR="006468D5" w:rsidRPr="00F27921">
        <w:rPr>
          <w:rFonts w:ascii="Times New Roman Bold" w:hAnsi="Times New Roman Bold"/>
          <w:b/>
          <w:szCs w:val="28"/>
        </w:rPr>
        <w:t>cho</w:t>
      </w:r>
      <w:r w:rsidR="003024D6" w:rsidRPr="00F27921">
        <w:rPr>
          <w:rFonts w:ascii="Times New Roman Bold" w:hAnsi="Times New Roman Bold"/>
          <w:b/>
          <w:szCs w:val="28"/>
        </w:rPr>
        <w:t xml:space="preserve"> </w:t>
      </w:r>
      <w:r w:rsidR="002B3049" w:rsidRPr="00F27921">
        <w:rPr>
          <w:rFonts w:ascii="Times New Roman Bold" w:hAnsi="Times New Roman Bold"/>
          <w:b/>
          <w:szCs w:val="28"/>
        </w:rPr>
        <w:t xml:space="preserve">các kỳ </w:t>
      </w:r>
      <w:r w:rsidR="006468D5" w:rsidRPr="00F27921">
        <w:rPr>
          <w:rFonts w:ascii="Times New Roman Bold" w:hAnsi="Times New Roman Bold"/>
          <w:b/>
          <w:szCs w:val="28"/>
        </w:rPr>
        <w:t xml:space="preserve">tuyển dụng, </w:t>
      </w:r>
      <w:r w:rsidR="00541711" w:rsidRPr="00F27921">
        <w:rPr>
          <w:rFonts w:ascii="Times New Roman Bold" w:hAnsi="Times New Roman Bold"/>
          <w:b/>
          <w:szCs w:val="28"/>
        </w:rPr>
        <w:t>th</w:t>
      </w:r>
      <w:r w:rsidR="005275AF" w:rsidRPr="00F27921">
        <w:rPr>
          <w:rFonts w:ascii="Times New Roman Bold" w:hAnsi="Times New Roman Bold"/>
          <w:b/>
          <w:szCs w:val="28"/>
        </w:rPr>
        <w:t xml:space="preserve">i </w:t>
      </w:r>
      <w:r w:rsidR="006468D5" w:rsidRPr="00F27921">
        <w:rPr>
          <w:rFonts w:ascii="Times New Roman Bold" w:hAnsi="Times New Roman Bold"/>
          <w:b/>
          <w:szCs w:val="28"/>
        </w:rPr>
        <w:t xml:space="preserve">nâng ngạch, thăng hạng trên địa bàn tỉnh </w:t>
      </w:r>
      <w:r w:rsidR="002B3049" w:rsidRPr="00F27921">
        <w:rPr>
          <w:rFonts w:ascii="Times New Roman Bold" w:hAnsi="Times New Roman Bold"/>
          <w:b/>
          <w:szCs w:val="28"/>
        </w:rPr>
        <w:t>giai đoạn 2019-2021 như sau:</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80"/>
        <w:gridCol w:w="1596"/>
        <w:gridCol w:w="1596"/>
        <w:gridCol w:w="1596"/>
        <w:gridCol w:w="1596"/>
        <w:gridCol w:w="1554"/>
      </w:tblGrid>
      <w:tr w:rsidR="00B13F09" w:rsidRPr="008876C7" w14:paraId="1DC0BAF8" w14:textId="43461007" w:rsidTr="00D71E6E">
        <w:trPr>
          <w:trHeight w:val="499"/>
          <w:tblHeader/>
        </w:trPr>
        <w:tc>
          <w:tcPr>
            <w:tcW w:w="572" w:type="dxa"/>
            <w:vMerge w:val="restart"/>
            <w:shd w:val="clear" w:color="auto" w:fill="auto"/>
            <w:vAlign w:val="center"/>
          </w:tcPr>
          <w:p w14:paraId="62B50DB4" w14:textId="77777777" w:rsidR="00B13F09" w:rsidRPr="008876C7" w:rsidRDefault="00B13F09" w:rsidP="008702A5">
            <w:pPr>
              <w:spacing w:after="0" w:line="240" w:lineRule="auto"/>
              <w:jc w:val="center"/>
              <w:rPr>
                <w:b/>
                <w:bCs/>
                <w:color w:val="000000"/>
                <w:sz w:val="24"/>
              </w:rPr>
            </w:pPr>
            <w:r w:rsidRPr="008876C7">
              <w:rPr>
                <w:b/>
                <w:bCs/>
                <w:color w:val="000000"/>
                <w:sz w:val="24"/>
              </w:rPr>
              <w:t>TT</w:t>
            </w:r>
          </w:p>
        </w:tc>
        <w:tc>
          <w:tcPr>
            <w:tcW w:w="1980" w:type="dxa"/>
            <w:vMerge w:val="restart"/>
            <w:shd w:val="clear" w:color="auto" w:fill="auto"/>
            <w:vAlign w:val="center"/>
          </w:tcPr>
          <w:p w14:paraId="56DBA7A7" w14:textId="77777777" w:rsidR="00B13F09" w:rsidRPr="008876C7" w:rsidRDefault="00B13F09" w:rsidP="008702A5">
            <w:pPr>
              <w:spacing w:after="0" w:line="240" w:lineRule="auto"/>
              <w:jc w:val="center"/>
              <w:rPr>
                <w:b/>
                <w:bCs/>
                <w:color w:val="000000"/>
                <w:sz w:val="24"/>
              </w:rPr>
            </w:pPr>
            <w:r w:rsidRPr="008876C7">
              <w:rPr>
                <w:b/>
                <w:bCs/>
                <w:color w:val="000000"/>
                <w:sz w:val="24"/>
              </w:rPr>
              <w:t>Nội dung</w:t>
            </w:r>
          </w:p>
        </w:tc>
        <w:tc>
          <w:tcPr>
            <w:tcW w:w="1596" w:type="dxa"/>
            <w:vMerge w:val="restart"/>
            <w:shd w:val="clear" w:color="auto" w:fill="auto"/>
            <w:vAlign w:val="center"/>
          </w:tcPr>
          <w:p w14:paraId="43BB95C6" w14:textId="77777777" w:rsidR="00B13F09" w:rsidRPr="008876C7" w:rsidRDefault="00B13F09" w:rsidP="008702A5">
            <w:pPr>
              <w:spacing w:after="0" w:line="240" w:lineRule="auto"/>
              <w:jc w:val="center"/>
              <w:rPr>
                <w:b/>
                <w:bCs/>
                <w:color w:val="000000"/>
                <w:sz w:val="24"/>
              </w:rPr>
            </w:pPr>
            <w:r w:rsidRPr="008876C7">
              <w:rPr>
                <w:b/>
                <w:bCs/>
                <w:color w:val="000000"/>
                <w:sz w:val="24"/>
              </w:rPr>
              <w:t>Tổng thu phí từ thí sinh (đồng)</w:t>
            </w:r>
          </w:p>
        </w:tc>
        <w:tc>
          <w:tcPr>
            <w:tcW w:w="4788" w:type="dxa"/>
            <w:gridSpan w:val="3"/>
            <w:shd w:val="clear" w:color="auto" w:fill="auto"/>
            <w:vAlign w:val="center"/>
          </w:tcPr>
          <w:p w14:paraId="0E6D9A2F" w14:textId="77777777" w:rsidR="00B13F09" w:rsidRPr="008876C7" w:rsidRDefault="00B13F09" w:rsidP="008702A5">
            <w:pPr>
              <w:spacing w:after="0" w:line="240" w:lineRule="auto"/>
              <w:jc w:val="center"/>
              <w:rPr>
                <w:b/>
                <w:bCs/>
                <w:color w:val="000000"/>
                <w:sz w:val="24"/>
              </w:rPr>
            </w:pPr>
            <w:r w:rsidRPr="008876C7">
              <w:rPr>
                <w:b/>
                <w:bCs/>
                <w:color w:val="000000"/>
                <w:sz w:val="24"/>
              </w:rPr>
              <w:t>Tổng chi (đồng)</w:t>
            </w:r>
          </w:p>
        </w:tc>
        <w:tc>
          <w:tcPr>
            <w:tcW w:w="1554" w:type="dxa"/>
            <w:vMerge w:val="restart"/>
            <w:vAlign w:val="center"/>
          </w:tcPr>
          <w:p w14:paraId="71E1C5BD" w14:textId="699A0040" w:rsidR="00B13F09" w:rsidRPr="008876C7" w:rsidRDefault="00B13F09" w:rsidP="008702A5">
            <w:pPr>
              <w:spacing w:after="0" w:line="240" w:lineRule="auto"/>
              <w:jc w:val="center"/>
              <w:rPr>
                <w:b/>
                <w:bCs/>
                <w:color w:val="000000"/>
                <w:sz w:val="24"/>
              </w:rPr>
            </w:pPr>
            <w:r>
              <w:rPr>
                <w:b/>
                <w:bCs/>
                <w:color w:val="000000"/>
                <w:sz w:val="24"/>
              </w:rPr>
              <w:t>Ghi chú</w:t>
            </w:r>
          </w:p>
        </w:tc>
      </w:tr>
      <w:tr w:rsidR="00B13F09" w:rsidRPr="008876C7" w14:paraId="0C9C2B7D" w14:textId="7D6BE4C2" w:rsidTr="00D71E6E">
        <w:trPr>
          <w:trHeight w:val="421"/>
          <w:tblHeader/>
        </w:trPr>
        <w:tc>
          <w:tcPr>
            <w:tcW w:w="572" w:type="dxa"/>
            <w:vMerge/>
            <w:shd w:val="clear" w:color="auto" w:fill="auto"/>
            <w:vAlign w:val="center"/>
          </w:tcPr>
          <w:p w14:paraId="05D170EC" w14:textId="77777777" w:rsidR="00B13F09" w:rsidRPr="008876C7" w:rsidRDefault="00B13F09" w:rsidP="008702A5">
            <w:pPr>
              <w:spacing w:after="0" w:line="240" w:lineRule="auto"/>
              <w:jc w:val="center"/>
              <w:rPr>
                <w:b/>
                <w:bCs/>
                <w:color w:val="000000"/>
                <w:sz w:val="24"/>
              </w:rPr>
            </w:pPr>
          </w:p>
        </w:tc>
        <w:tc>
          <w:tcPr>
            <w:tcW w:w="1980" w:type="dxa"/>
            <w:vMerge/>
            <w:shd w:val="clear" w:color="auto" w:fill="auto"/>
            <w:vAlign w:val="center"/>
          </w:tcPr>
          <w:p w14:paraId="4EE5C362" w14:textId="77777777" w:rsidR="00B13F09" w:rsidRPr="008876C7" w:rsidRDefault="00B13F09" w:rsidP="008702A5">
            <w:pPr>
              <w:spacing w:after="0" w:line="240" w:lineRule="auto"/>
              <w:jc w:val="center"/>
              <w:rPr>
                <w:b/>
                <w:bCs/>
                <w:color w:val="000000"/>
                <w:sz w:val="24"/>
              </w:rPr>
            </w:pPr>
          </w:p>
        </w:tc>
        <w:tc>
          <w:tcPr>
            <w:tcW w:w="1596" w:type="dxa"/>
            <w:vMerge/>
            <w:shd w:val="clear" w:color="auto" w:fill="auto"/>
            <w:vAlign w:val="center"/>
          </w:tcPr>
          <w:p w14:paraId="5F856289" w14:textId="77777777" w:rsidR="00B13F09" w:rsidRPr="008876C7" w:rsidRDefault="00B13F09" w:rsidP="008702A5">
            <w:pPr>
              <w:spacing w:after="0" w:line="240" w:lineRule="auto"/>
              <w:jc w:val="center"/>
              <w:rPr>
                <w:b/>
                <w:bCs/>
                <w:color w:val="000000"/>
                <w:sz w:val="24"/>
              </w:rPr>
            </w:pPr>
          </w:p>
        </w:tc>
        <w:tc>
          <w:tcPr>
            <w:tcW w:w="1596" w:type="dxa"/>
            <w:vMerge w:val="restart"/>
            <w:shd w:val="clear" w:color="auto" w:fill="auto"/>
            <w:vAlign w:val="center"/>
          </w:tcPr>
          <w:p w14:paraId="1B221D1B" w14:textId="77777777" w:rsidR="00B13F09" w:rsidRPr="008876C7" w:rsidRDefault="00B13F09" w:rsidP="008702A5">
            <w:pPr>
              <w:spacing w:after="0" w:line="240" w:lineRule="auto"/>
              <w:jc w:val="center"/>
              <w:rPr>
                <w:b/>
                <w:bCs/>
                <w:color w:val="000000"/>
                <w:sz w:val="24"/>
              </w:rPr>
            </w:pPr>
            <w:r w:rsidRPr="008876C7">
              <w:rPr>
                <w:b/>
                <w:bCs/>
                <w:color w:val="000000"/>
                <w:sz w:val="24"/>
              </w:rPr>
              <w:t>Tổng số</w:t>
            </w:r>
          </w:p>
        </w:tc>
        <w:tc>
          <w:tcPr>
            <w:tcW w:w="3192" w:type="dxa"/>
            <w:gridSpan w:val="2"/>
            <w:shd w:val="clear" w:color="auto" w:fill="auto"/>
            <w:vAlign w:val="center"/>
          </w:tcPr>
          <w:p w14:paraId="06C3478A" w14:textId="77777777" w:rsidR="00B13F09" w:rsidRPr="008876C7" w:rsidRDefault="00B13F09" w:rsidP="008702A5">
            <w:pPr>
              <w:spacing w:after="0" w:line="240" w:lineRule="auto"/>
              <w:jc w:val="center"/>
              <w:rPr>
                <w:b/>
                <w:bCs/>
                <w:i/>
                <w:iCs/>
                <w:color w:val="000000"/>
                <w:sz w:val="24"/>
              </w:rPr>
            </w:pPr>
            <w:r w:rsidRPr="008876C7">
              <w:rPr>
                <w:b/>
                <w:bCs/>
                <w:i/>
                <w:iCs/>
                <w:color w:val="000000"/>
                <w:sz w:val="24"/>
              </w:rPr>
              <w:t>Trong đó</w:t>
            </w:r>
          </w:p>
        </w:tc>
        <w:tc>
          <w:tcPr>
            <w:tcW w:w="1554" w:type="dxa"/>
            <w:vMerge/>
          </w:tcPr>
          <w:p w14:paraId="2F33E57B" w14:textId="77777777" w:rsidR="00B13F09" w:rsidRPr="008876C7" w:rsidRDefault="00B13F09" w:rsidP="008702A5">
            <w:pPr>
              <w:spacing w:after="0" w:line="240" w:lineRule="auto"/>
              <w:jc w:val="center"/>
              <w:rPr>
                <w:b/>
                <w:bCs/>
                <w:i/>
                <w:iCs/>
                <w:color w:val="000000"/>
                <w:sz w:val="24"/>
              </w:rPr>
            </w:pPr>
          </w:p>
        </w:tc>
      </w:tr>
      <w:tr w:rsidR="00B13F09" w:rsidRPr="008876C7" w14:paraId="7898D85A" w14:textId="74F77506" w:rsidTr="00ED6C52">
        <w:trPr>
          <w:trHeight w:val="1122"/>
          <w:tblHeader/>
        </w:trPr>
        <w:tc>
          <w:tcPr>
            <w:tcW w:w="572" w:type="dxa"/>
            <w:vMerge/>
            <w:shd w:val="clear" w:color="auto" w:fill="auto"/>
            <w:vAlign w:val="center"/>
          </w:tcPr>
          <w:p w14:paraId="5E3D1048" w14:textId="77777777" w:rsidR="00B13F09" w:rsidRPr="008876C7" w:rsidRDefault="00B13F09" w:rsidP="008702A5">
            <w:pPr>
              <w:spacing w:after="0" w:line="240" w:lineRule="auto"/>
              <w:jc w:val="center"/>
              <w:rPr>
                <w:b/>
                <w:bCs/>
                <w:color w:val="000000"/>
                <w:sz w:val="24"/>
              </w:rPr>
            </w:pPr>
          </w:p>
        </w:tc>
        <w:tc>
          <w:tcPr>
            <w:tcW w:w="1980" w:type="dxa"/>
            <w:vMerge/>
            <w:shd w:val="clear" w:color="auto" w:fill="auto"/>
            <w:vAlign w:val="center"/>
          </w:tcPr>
          <w:p w14:paraId="67A68AFF" w14:textId="77777777" w:rsidR="00B13F09" w:rsidRPr="008876C7" w:rsidRDefault="00B13F09" w:rsidP="008702A5">
            <w:pPr>
              <w:spacing w:after="0" w:line="240" w:lineRule="auto"/>
              <w:jc w:val="center"/>
              <w:rPr>
                <w:b/>
                <w:bCs/>
                <w:color w:val="000000"/>
                <w:sz w:val="24"/>
              </w:rPr>
            </w:pPr>
          </w:p>
        </w:tc>
        <w:tc>
          <w:tcPr>
            <w:tcW w:w="1596" w:type="dxa"/>
            <w:vMerge/>
            <w:shd w:val="clear" w:color="auto" w:fill="auto"/>
            <w:vAlign w:val="center"/>
          </w:tcPr>
          <w:p w14:paraId="7B2F479A" w14:textId="77777777" w:rsidR="00B13F09" w:rsidRPr="008876C7" w:rsidRDefault="00B13F09" w:rsidP="008702A5">
            <w:pPr>
              <w:spacing w:after="0" w:line="240" w:lineRule="auto"/>
              <w:jc w:val="center"/>
              <w:rPr>
                <w:b/>
                <w:bCs/>
                <w:color w:val="000000"/>
                <w:sz w:val="24"/>
              </w:rPr>
            </w:pPr>
          </w:p>
        </w:tc>
        <w:tc>
          <w:tcPr>
            <w:tcW w:w="1596" w:type="dxa"/>
            <w:vMerge/>
            <w:shd w:val="clear" w:color="auto" w:fill="auto"/>
            <w:vAlign w:val="center"/>
          </w:tcPr>
          <w:p w14:paraId="5FDADF85" w14:textId="77777777" w:rsidR="00B13F09" w:rsidRPr="008876C7" w:rsidRDefault="00B13F09" w:rsidP="008702A5">
            <w:pPr>
              <w:spacing w:after="0" w:line="240" w:lineRule="auto"/>
              <w:jc w:val="center"/>
              <w:rPr>
                <w:b/>
                <w:bCs/>
                <w:color w:val="000000"/>
                <w:sz w:val="24"/>
              </w:rPr>
            </w:pPr>
          </w:p>
        </w:tc>
        <w:tc>
          <w:tcPr>
            <w:tcW w:w="1596" w:type="dxa"/>
            <w:shd w:val="clear" w:color="auto" w:fill="auto"/>
            <w:vAlign w:val="center"/>
          </w:tcPr>
          <w:p w14:paraId="6ABDE5D4" w14:textId="77777777" w:rsidR="00B13F09" w:rsidRPr="008876C7" w:rsidRDefault="00B13F09" w:rsidP="008702A5">
            <w:pPr>
              <w:spacing w:after="0" w:line="240" w:lineRule="auto"/>
              <w:jc w:val="center"/>
              <w:rPr>
                <w:b/>
                <w:bCs/>
                <w:i/>
                <w:iCs/>
                <w:color w:val="000000"/>
                <w:sz w:val="24"/>
              </w:rPr>
            </w:pPr>
            <w:r w:rsidRPr="008876C7">
              <w:rPr>
                <w:b/>
                <w:bCs/>
                <w:i/>
                <w:iCs/>
                <w:color w:val="000000"/>
                <w:sz w:val="24"/>
              </w:rPr>
              <w:t>Trích từ nguồn thu phí</w:t>
            </w:r>
          </w:p>
        </w:tc>
        <w:tc>
          <w:tcPr>
            <w:tcW w:w="1596" w:type="dxa"/>
            <w:shd w:val="clear" w:color="auto" w:fill="auto"/>
            <w:vAlign w:val="center"/>
          </w:tcPr>
          <w:p w14:paraId="1226E12B" w14:textId="77777777" w:rsidR="00B13F09" w:rsidRPr="008876C7" w:rsidRDefault="00B13F09" w:rsidP="008702A5">
            <w:pPr>
              <w:spacing w:after="0" w:line="240" w:lineRule="auto"/>
              <w:jc w:val="center"/>
              <w:rPr>
                <w:b/>
                <w:bCs/>
                <w:i/>
                <w:iCs/>
                <w:color w:val="000000"/>
                <w:sz w:val="24"/>
              </w:rPr>
            </w:pPr>
            <w:r w:rsidRPr="008876C7">
              <w:rPr>
                <w:b/>
                <w:bCs/>
                <w:i/>
                <w:iCs/>
                <w:color w:val="000000"/>
                <w:sz w:val="24"/>
              </w:rPr>
              <w:t>Ngân sách địa phương hỗ trợ</w:t>
            </w:r>
          </w:p>
        </w:tc>
        <w:tc>
          <w:tcPr>
            <w:tcW w:w="1554" w:type="dxa"/>
            <w:vMerge/>
          </w:tcPr>
          <w:p w14:paraId="5451631C" w14:textId="77777777" w:rsidR="00B13F09" w:rsidRPr="008876C7" w:rsidRDefault="00B13F09" w:rsidP="008702A5">
            <w:pPr>
              <w:spacing w:after="0" w:line="240" w:lineRule="auto"/>
              <w:jc w:val="center"/>
              <w:rPr>
                <w:b/>
                <w:bCs/>
                <w:i/>
                <w:iCs/>
                <w:color w:val="000000"/>
                <w:sz w:val="24"/>
              </w:rPr>
            </w:pPr>
          </w:p>
        </w:tc>
      </w:tr>
      <w:tr w:rsidR="00B13F09" w:rsidRPr="008876C7" w14:paraId="4A110A58" w14:textId="515413CB" w:rsidTr="00D71E6E">
        <w:trPr>
          <w:trHeight w:val="841"/>
        </w:trPr>
        <w:tc>
          <w:tcPr>
            <w:tcW w:w="572" w:type="dxa"/>
            <w:shd w:val="clear" w:color="auto" w:fill="auto"/>
            <w:vAlign w:val="center"/>
          </w:tcPr>
          <w:p w14:paraId="1AB0FB92" w14:textId="77777777" w:rsidR="00B13F09" w:rsidRPr="008876C7" w:rsidRDefault="00B13F09" w:rsidP="008702A5">
            <w:pPr>
              <w:spacing w:after="0" w:line="240" w:lineRule="auto"/>
              <w:jc w:val="center"/>
              <w:rPr>
                <w:b/>
                <w:bCs/>
                <w:color w:val="000000"/>
                <w:sz w:val="24"/>
              </w:rPr>
            </w:pPr>
            <w:r w:rsidRPr="008876C7">
              <w:rPr>
                <w:b/>
                <w:bCs/>
                <w:color w:val="000000"/>
                <w:sz w:val="24"/>
              </w:rPr>
              <w:t>1</w:t>
            </w:r>
          </w:p>
        </w:tc>
        <w:tc>
          <w:tcPr>
            <w:tcW w:w="1980" w:type="dxa"/>
            <w:shd w:val="clear" w:color="auto" w:fill="auto"/>
          </w:tcPr>
          <w:p w14:paraId="12AFC1B8" w14:textId="77777777" w:rsidR="00B13F09" w:rsidRPr="008876C7" w:rsidRDefault="00B13F09" w:rsidP="008702A5">
            <w:pPr>
              <w:spacing w:after="0" w:line="240" w:lineRule="auto"/>
              <w:jc w:val="both"/>
              <w:rPr>
                <w:b/>
                <w:bCs/>
                <w:color w:val="000000"/>
                <w:sz w:val="24"/>
              </w:rPr>
            </w:pPr>
            <w:r w:rsidRPr="008876C7">
              <w:rPr>
                <w:b/>
                <w:bCs/>
                <w:color w:val="000000"/>
                <w:sz w:val="24"/>
              </w:rPr>
              <w:t>Tuyển dụng công chức (02 cuộc)</w:t>
            </w:r>
          </w:p>
        </w:tc>
        <w:tc>
          <w:tcPr>
            <w:tcW w:w="1596" w:type="dxa"/>
            <w:shd w:val="clear" w:color="auto" w:fill="auto"/>
            <w:vAlign w:val="center"/>
          </w:tcPr>
          <w:p w14:paraId="7BA773BA" w14:textId="77777777" w:rsidR="00B13F09" w:rsidRPr="008876C7" w:rsidRDefault="00B13F09" w:rsidP="008702A5">
            <w:pPr>
              <w:spacing w:after="0" w:line="240" w:lineRule="auto"/>
              <w:jc w:val="right"/>
              <w:rPr>
                <w:b/>
                <w:bCs/>
                <w:color w:val="000000"/>
                <w:sz w:val="24"/>
              </w:rPr>
            </w:pPr>
            <w:r w:rsidRPr="008876C7">
              <w:rPr>
                <w:b/>
                <w:bCs/>
                <w:color w:val="000000"/>
                <w:sz w:val="24"/>
              </w:rPr>
              <w:t>451.200.000</w:t>
            </w:r>
          </w:p>
        </w:tc>
        <w:tc>
          <w:tcPr>
            <w:tcW w:w="1596" w:type="dxa"/>
            <w:shd w:val="clear" w:color="auto" w:fill="auto"/>
            <w:vAlign w:val="center"/>
          </w:tcPr>
          <w:p w14:paraId="620F9623" w14:textId="77777777" w:rsidR="00B13F09" w:rsidRPr="008876C7" w:rsidRDefault="00B13F09" w:rsidP="008702A5">
            <w:pPr>
              <w:spacing w:after="0" w:line="240" w:lineRule="auto"/>
              <w:jc w:val="right"/>
              <w:rPr>
                <w:b/>
                <w:bCs/>
                <w:color w:val="000000"/>
                <w:sz w:val="24"/>
              </w:rPr>
            </w:pPr>
            <w:r w:rsidRPr="008876C7">
              <w:rPr>
                <w:b/>
                <w:bCs/>
                <w:color w:val="000000"/>
                <w:sz w:val="24"/>
              </w:rPr>
              <w:t>1.708.774.092</w:t>
            </w:r>
          </w:p>
        </w:tc>
        <w:tc>
          <w:tcPr>
            <w:tcW w:w="1596" w:type="dxa"/>
            <w:shd w:val="clear" w:color="auto" w:fill="auto"/>
            <w:vAlign w:val="center"/>
          </w:tcPr>
          <w:p w14:paraId="0AFFA864" w14:textId="77777777" w:rsidR="00B13F09" w:rsidRPr="008876C7" w:rsidRDefault="00B13F09" w:rsidP="008702A5">
            <w:pPr>
              <w:spacing w:after="0" w:line="240" w:lineRule="auto"/>
              <w:jc w:val="right"/>
              <w:rPr>
                <w:b/>
                <w:bCs/>
                <w:color w:val="000000"/>
                <w:sz w:val="24"/>
              </w:rPr>
            </w:pPr>
            <w:r w:rsidRPr="008876C7">
              <w:rPr>
                <w:b/>
                <w:bCs/>
                <w:color w:val="000000"/>
                <w:sz w:val="24"/>
              </w:rPr>
              <w:t>451.200.000</w:t>
            </w:r>
          </w:p>
        </w:tc>
        <w:tc>
          <w:tcPr>
            <w:tcW w:w="1596" w:type="dxa"/>
            <w:shd w:val="clear" w:color="auto" w:fill="auto"/>
            <w:vAlign w:val="center"/>
          </w:tcPr>
          <w:p w14:paraId="0CEBB87B" w14:textId="77777777" w:rsidR="00B13F09" w:rsidRPr="008876C7" w:rsidRDefault="00B13F09" w:rsidP="008702A5">
            <w:pPr>
              <w:spacing w:after="0" w:line="240" w:lineRule="auto"/>
              <w:jc w:val="right"/>
              <w:rPr>
                <w:b/>
                <w:bCs/>
                <w:color w:val="000000"/>
                <w:sz w:val="24"/>
              </w:rPr>
            </w:pPr>
            <w:r w:rsidRPr="008876C7">
              <w:rPr>
                <w:b/>
                <w:bCs/>
                <w:color w:val="000000"/>
                <w:sz w:val="24"/>
              </w:rPr>
              <w:t>1.257.574.092</w:t>
            </w:r>
          </w:p>
        </w:tc>
        <w:tc>
          <w:tcPr>
            <w:tcW w:w="1554" w:type="dxa"/>
          </w:tcPr>
          <w:p w14:paraId="21883ECB" w14:textId="77777777" w:rsidR="00B13F09" w:rsidRPr="008876C7" w:rsidRDefault="00B13F09" w:rsidP="008702A5">
            <w:pPr>
              <w:spacing w:after="0" w:line="240" w:lineRule="auto"/>
              <w:jc w:val="right"/>
              <w:rPr>
                <w:b/>
                <w:bCs/>
                <w:color w:val="000000"/>
                <w:sz w:val="24"/>
              </w:rPr>
            </w:pPr>
          </w:p>
        </w:tc>
      </w:tr>
      <w:tr w:rsidR="00B13F09" w:rsidRPr="008876C7" w14:paraId="63B23D97" w14:textId="02DDC8BE" w:rsidTr="00D71E6E">
        <w:trPr>
          <w:trHeight w:val="2411"/>
        </w:trPr>
        <w:tc>
          <w:tcPr>
            <w:tcW w:w="572" w:type="dxa"/>
            <w:shd w:val="clear" w:color="auto" w:fill="auto"/>
            <w:vAlign w:val="center"/>
          </w:tcPr>
          <w:p w14:paraId="0AC6ACA3" w14:textId="77777777" w:rsidR="00B13F09" w:rsidRPr="008876C7" w:rsidRDefault="00B13F09" w:rsidP="008702A5">
            <w:pPr>
              <w:spacing w:after="0" w:line="240" w:lineRule="auto"/>
              <w:jc w:val="center"/>
              <w:rPr>
                <w:color w:val="000000"/>
                <w:sz w:val="24"/>
              </w:rPr>
            </w:pPr>
            <w:r w:rsidRPr="008876C7">
              <w:rPr>
                <w:color w:val="000000"/>
                <w:sz w:val="24"/>
              </w:rPr>
              <w:t>-</w:t>
            </w:r>
          </w:p>
        </w:tc>
        <w:tc>
          <w:tcPr>
            <w:tcW w:w="1980" w:type="dxa"/>
            <w:shd w:val="clear" w:color="auto" w:fill="auto"/>
            <w:vAlign w:val="center"/>
          </w:tcPr>
          <w:p w14:paraId="02D99474" w14:textId="7C4BA4CC" w:rsidR="00B13F09" w:rsidRPr="008876C7" w:rsidRDefault="00B13F09" w:rsidP="008702A5">
            <w:pPr>
              <w:spacing w:after="0" w:line="240" w:lineRule="auto"/>
              <w:jc w:val="both"/>
              <w:rPr>
                <w:color w:val="000000"/>
                <w:sz w:val="24"/>
              </w:rPr>
            </w:pPr>
            <w:r w:rsidRPr="008876C7">
              <w:rPr>
                <w:color w:val="000000"/>
                <w:sz w:val="24"/>
              </w:rPr>
              <w:t>Năm 2020 (chỉ tiêu năm 2019)</w:t>
            </w:r>
            <w:r>
              <w:rPr>
                <w:color w:val="000000"/>
                <w:sz w:val="24"/>
              </w:rPr>
              <w:t xml:space="preserve"> </w:t>
            </w:r>
          </w:p>
        </w:tc>
        <w:tc>
          <w:tcPr>
            <w:tcW w:w="1596" w:type="dxa"/>
            <w:shd w:val="clear" w:color="auto" w:fill="auto"/>
            <w:vAlign w:val="center"/>
          </w:tcPr>
          <w:p w14:paraId="7020D232" w14:textId="77777777" w:rsidR="00B13F09" w:rsidRPr="008876C7" w:rsidRDefault="00B13F09" w:rsidP="008702A5">
            <w:pPr>
              <w:spacing w:after="0" w:line="240" w:lineRule="auto"/>
              <w:jc w:val="right"/>
              <w:rPr>
                <w:color w:val="000000"/>
                <w:sz w:val="24"/>
              </w:rPr>
            </w:pPr>
            <w:r w:rsidRPr="008876C7">
              <w:rPr>
                <w:color w:val="000000"/>
                <w:sz w:val="24"/>
              </w:rPr>
              <w:t>286.500.000</w:t>
            </w:r>
          </w:p>
        </w:tc>
        <w:tc>
          <w:tcPr>
            <w:tcW w:w="1596" w:type="dxa"/>
            <w:shd w:val="clear" w:color="auto" w:fill="auto"/>
            <w:vAlign w:val="center"/>
          </w:tcPr>
          <w:p w14:paraId="362CC0E0" w14:textId="77777777" w:rsidR="00B13F09" w:rsidRPr="008876C7" w:rsidRDefault="00B13F09" w:rsidP="008702A5">
            <w:pPr>
              <w:spacing w:after="0" w:line="240" w:lineRule="auto"/>
              <w:jc w:val="right"/>
              <w:rPr>
                <w:color w:val="000000"/>
                <w:sz w:val="24"/>
              </w:rPr>
            </w:pPr>
            <w:r w:rsidRPr="008876C7">
              <w:rPr>
                <w:color w:val="000000"/>
                <w:sz w:val="24"/>
              </w:rPr>
              <w:t>989.835.000</w:t>
            </w:r>
          </w:p>
        </w:tc>
        <w:tc>
          <w:tcPr>
            <w:tcW w:w="1596" w:type="dxa"/>
            <w:shd w:val="clear" w:color="auto" w:fill="auto"/>
            <w:vAlign w:val="center"/>
          </w:tcPr>
          <w:p w14:paraId="6DF033C1" w14:textId="77777777" w:rsidR="00B13F09" w:rsidRPr="008876C7" w:rsidRDefault="00B13F09" w:rsidP="008702A5">
            <w:pPr>
              <w:spacing w:after="0" w:line="240" w:lineRule="auto"/>
              <w:jc w:val="right"/>
              <w:rPr>
                <w:color w:val="000000"/>
                <w:sz w:val="24"/>
              </w:rPr>
            </w:pPr>
            <w:r w:rsidRPr="008876C7">
              <w:rPr>
                <w:color w:val="000000"/>
                <w:sz w:val="24"/>
              </w:rPr>
              <w:t>286.500.000</w:t>
            </w:r>
          </w:p>
        </w:tc>
        <w:tc>
          <w:tcPr>
            <w:tcW w:w="1596" w:type="dxa"/>
            <w:shd w:val="clear" w:color="auto" w:fill="auto"/>
            <w:vAlign w:val="center"/>
          </w:tcPr>
          <w:p w14:paraId="32FE5FE9" w14:textId="12CB8870" w:rsidR="00B13F09" w:rsidRPr="008876C7" w:rsidRDefault="00B13F09" w:rsidP="008702A5">
            <w:pPr>
              <w:spacing w:after="0" w:line="240" w:lineRule="auto"/>
              <w:jc w:val="right"/>
              <w:rPr>
                <w:color w:val="000000"/>
                <w:sz w:val="24"/>
              </w:rPr>
            </w:pPr>
            <w:r w:rsidRPr="008876C7">
              <w:rPr>
                <w:color w:val="000000"/>
                <w:sz w:val="24"/>
              </w:rPr>
              <w:t>703.335.000</w:t>
            </w:r>
            <w:r w:rsidR="001A76A4">
              <w:rPr>
                <w:color w:val="000000"/>
                <w:sz w:val="24"/>
              </w:rPr>
              <w:t xml:space="preserve"> </w:t>
            </w:r>
          </w:p>
        </w:tc>
        <w:tc>
          <w:tcPr>
            <w:tcW w:w="1554" w:type="dxa"/>
          </w:tcPr>
          <w:p w14:paraId="116AD015" w14:textId="366190D3" w:rsidR="00B13F09" w:rsidRPr="00357156" w:rsidRDefault="00074C70" w:rsidP="007D7DFB">
            <w:pPr>
              <w:spacing w:after="0" w:line="240" w:lineRule="auto"/>
              <w:jc w:val="both"/>
              <w:rPr>
                <w:color w:val="000000"/>
                <w:sz w:val="24"/>
                <w:szCs w:val="24"/>
              </w:rPr>
            </w:pPr>
            <w:r w:rsidRPr="00357156">
              <w:rPr>
                <w:bCs/>
                <w:sz w:val="24"/>
                <w:szCs w:val="24"/>
              </w:rPr>
              <w:t xml:space="preserve">Thuê trọn gói xây dựng đề thi, hướng dẫn chấm thi, đáp án chấm thi </w:t>
            </w:r>
            <w:r w:rsidR="00AF0AA4" w:rsidRPr="00357156">
              <w:rPr>
                <w:bCs/>
                <w:sz w:val="24"/>
                <w:szCs w:val="24"/>
              </w:rPr>
              <w:t>của vòng 1 và vòng 2 (thi trên máy tính)</w:t>
            </w:r>
          </w:p>
        </w:tc>
      </w:tr>
      <w:tr w:rsidR="00B13F09" w:rsidRPr="008876C7" w14:paraId="718A24BA" w14:textId="49BD6BCE" w:rsidTr="00B6160E">
        <w:tc>
          <w:tcPr>
            <w:tcW w:w="572" w:type="dxa"/>
            <w:shd w:val="clear" w:color="auto" w:fill="auto"/>
            <w:vAlign w:val="center"/>
          </w:tcPr>
          <w:p w14:paraId="47F1C2CA" w14:textId="77777777" w:rsidR="00B13F09" w:rsidRPr="008876C7" w:rsidRDefault="00B13F09" w:rsidP="008702A5">
            <w:pPr>
              <w:spacing w:after="0" w:line="240" w:lineRule="auto"/>
              <w:jc w:val="center"/>
              <w:rPr>
                <w:color w:val="000000"/>
                <w:sz w:val="24"/>
              </w:rPr>
            </w:pPr>
            <w:r w:rsidRPr="008876C7">
              <w:rPr>
                <w:color w:val="000000"/>
                <w:sz w:val="24"/>
              </w:rPr>
              <w:t>-</w:t>
            </w:r>
          </w:p>
        </w:tc>
        <w:tc>
          <w:tcPr>
            <w:tcW w:w="1980" w:type="dxa"/>
            <w:shd w:val="clear" w:color="auto" w:fill="auto"/>
          </w:tcPr>
          <w:p w14:paraId="20CA9FAB" w14:textId="77777777" w:rsidR="00B13F09" w:rsidRPr="008876C7" w:rsidRDefault="00B13F09" w:rsidP="008702A5">
            <w:pPr>
              <w:spacing w:after="0" w:line="240" w:lineRule="auto"/>
              <w:jc w:val="both"/>
              <w:rPr>
                <w:color w:val="000000"/>
                <w:sz w:val="24"/>
              </w:rPr>
            </w:pPr>
            <w:r w:rsidRPr="008876C7">
              <w:rPr>
                <w:color w:val="000000"/>
                <w:sz w:val="24"/>
              </w:rPr>
              <w:t>Năm 2021 (chỉ tiêu năm 2020)</w:t>
            </w:r>
          </w:p>
        </w:tc>
        <w:tc>
          <w:tcPr>
            <w:tcW w:w="1596" w:type="dxa"/>
            <w:shd w:val="clear" w:color="auto" w:fill="auto"/>
            <w:vAlign w:val="center"/>
          </w:tcPr>
          <w:p w14:paraId="185C2642" w14:textId="77777777" w:rsidR="00B13F09" w:rsidRPr="008876C7" w:rsidRDefault="00B13F09" w:rsidP="008702A5">
            <w:pPr>
              <w:spacing w:after="0" w:line="240" w:lineRule="auto"/>
              <w:jc w:val="right"/>
              <w:rPr>
                <w:color w:val="000000"/>
                <w:sz w:val="24"/>
              </w:rPr>
            </w:pPr>
            <w:r w:rsidRPr="008876C7">
              <w:rPr>
                <w:color w:val="000000"/>
                <w:sz w:val="24"/>
              </w:rPr>
              <w:t>164.700.000</w:t>
            </w:r>
          </w:p>
        </w:tc>
        <w:tc>
          <w:tcPr>
            <w:tcW w:w="1596" w:type="dxa"/>
            <w:shd w:val="clear" w:color="auto" w:fill="auto"/>
            <w:vAlign w:val="center"/>
          </w:tcPr>
          <w:p w14:paraId="2234823A" w14:textId="77777777" w:rsidR="00B13F09" w:rsidRPr="008876C7" w:rsidRDefault="00B13F09" w:rsidP="008702A5">
            <w:pPr>
              <w:spacing w:after="0" w:line="240" w:lineRule="auto"/>
              <w:jc w:val="right"/>
              <w:rPr>
                <w:color w:val="000000"/>
                <w:sz w:val="24"/>
              </w:rPr>
            </w:pPr>
            <w:r w:rsidRPr="008876C7">
              <w:rPr>
                <w:color w:val="000000"/>
                <w:sz w:val="24"/>
              </w:rPr>
              <w:t>718.939.092</w:t>
            </w:r>
          </w:p>
        </w:tc>
        <w:tc>
          <w:tcPr>
            <w:tcW w:w="1596" w:type="dxa"/>
            <w:shd w:val="clear" w:color="auto" w:fill="auto"/>
            <w:vAlign w:val="center"/>
          </w:tcPr>
          <w:p w14:paraId="5374B327" w14:textId="77777777" w:rsidR="00B13F09" w:rsidRPr="008876C7" w:rsidRDefault="00B13F09" w:rsidP="008702A5">
            <w:pPr>
              <w:spacing w:after="0" w:line="240" w:lineRule="auto"/>
              <w:jc w:val="right"/>
              <w:rPr>
                <w:color w:val="000000"/>
                <w:sz w:val="24"/>
              </w:rPr>
            </w:pPr>
            <w:r w:rsidRPr="008876C7">
              <w:rPr>
                <w:color w:val="000000"/>
                <w:sz w:val="24"/>
              </w:rPr>
              <w:t>164.700.000</w:t>
            </w:r>
          </w:p>
        </w:tc>
        <w:tc>
          <w:tcPr>
            <w:tcW w:w="1596" w:type="dxa"/>
            <w:shd w:val="clear" w:color="auto" w:fill="auto"/>
            <w:vAlign w:val="center"/>
          </w:tcPr>
          <w:p w14:paraId="3F09AEF8" w14:textId="77777777" w:rsidR="00B13F09" w:rsidRPr="008876C7" w:rsidRDefault="00B13F09" w:rsidP="008702A5">
            <w:pPr>
              <w:spacing w:after="0" w:line="240" w:lineRule="auto"/>
              <w:jc w:val="right"/>
              <w:rPr>
                <w:color w:val="000000"/>
                <w:sz w:val="24"/>
              </w:rPr>
            </w:pPr>
            <w:r w:rsidRPr="008876C7">
              <w:rPr>
                <w:color w:val="000000"/>
                <w:sz w:val="24"/>
              </w:rPr>
              <w:t>554.239.092</w:t>
            </w:r>
          </w:p>
        </w:tc>
        <w:tc>
          <w:tcPr>
            <w:tcW w:w="1554" w:type="dxa"/>
          </w:tcPr>
          <w:p w14:paraId="02DD94D5" w14:textId="646EC3C1" w:rsidR="00B13F09" w:rsidRPr="008876C7" w:rsidRDefault="003850E6" w:rsidP="007D7DFB">
            <w:pPr>
              <w:spacing w:after="0" w:line="240" w:lineRule="auto"/>
              <w:jc w:val="both"/>
              <w:rPr>
                <w:color w:val="000000"/>
                <w:sz w:val="24"/>
              </w:rPr>
            </w:pPr>
            <w:r>
              <w:rPr>
                <w:color w:val="000000"/>
                <w:sz w:val="24"/>
              </w:rPr>
              <w:t xml:space="preserve">Ủy ban nhân dân tỉnh thực </w:t>
            </w:r>
            <w:r w:rsidRPr="000C3238">
              <w:rPr>
                <w:sz w:val="24"/>
              </w:rPr>
              <w:t>hiện</w:t>
            </w:r>
            <w:r w:rsidR="007A2EE6" w:rsidRPr="000C3238">
              <w:rPr>
                <w:sz w:val="24"/>
              </w:rPr>
              <w:t xml:space="preserve"> (thi trên giấy)</w:t>
            </w:r>
          </w:p>
        </w:tc>
      </w:tr>
      <w:tr w:rsidR="00B13F09" w:rsidRPr="008876C7" w14:paraId="5EB9C8AE" w14:textId="09A35E70" w:rsidTr="00B6160E">
        <w:tc>
          <w:tcPr>
            <w:tcW w:w="572" w:type="dxa"/>
            <w:shd w:val="clear" w:color="auto" w:fill="auto"/>
            <w:vAlign w:val="center"/>
          </w:tcPr>
          <w:p w14:paraId="5BAFDC18" w14:textId="77777777" w:rsidR="00B13F09" w:rsidRPr="008876C7" w:rsidRDefault="00B13F09" w:rsidP="008702A5">
            <w:pPr>
              <w:spacing w:after="0" w:line="240" w:lineRule="auto"/>
              <w:jc w:val="center"/>
              <w:rPr>
                <w:b/>
                <w:bCs/>
                <w:color w:val="000000"/>
                <w:sz w:val="24"/>
              </w:rPr>
            </w:pPr>
            <w:r w:rsidRPr="008876C7">
              <w:rPr>
                <w:b/>
                <w:bCs/>
                <w:color w:val="000000"/>
                <w:sz w:val="24"/>
              </w:rPr>
              <w:t>2</w:t>
            </w:r>
          </w:p>
        </w:tc>
        <w:tc>
          <w:tcPr>
            <w:tcW w:w="1980" w:type="dxa"/>
            <w:shd w:val="clear" w:color="auto" w:fill="auto"/>
          </w:tcPr>
          <w:p w14:paraId="049B6D8C" w14:textId="77777777" w:rsidR="00B13F09" w:rsidRPr="008876C7" w:rsidRDefault="00B13F09" w:rsidP="008702A5">
            <w:pPr>
              <w:spacing w:after="0" w:line="240" w:lineRule="auto"/>
              <w:jc w:val="both"/>
              <w:rPr>
                <w:b/>
                <w:bCs/>
                <w:color w:val="000000"/>
                <w:sz w:val="24"/>
              </w:rPr>
            </w:pPr>
            <w:r w:rsidRPr="008876C7">
              <w:rPr>
                <w:b/>
                <w:bCs/>
                <w:color w:val="000000"/>
                <w:sz w:val="24"/>
              </w:rPr>
              <w:t>Nâng ngạch công chức (03 cuộc)</w:t>
            </w:r>
          </w:p>
        </w:tc>
        <w:tc>
          <w:tcPr>
            <w:tcW w:w="1596" w:type="dxa"/>
            <w:shd w:val="clear" w:color="auto" w:fill="auto"/>
            <w:vAlign w:val="center"/>
          </w:tcPr>
          <w:p w14:paraId="59C64BC1" w14:textId="77777777" w:rsidR="00B13F09" w:rsidRPr="008876C7" w:rsidRDefault="00B13F09" w:rsidP="008702A5">
            <w:pPr>
              <w:spacing w:after="0" w:line="240" w:lineRule="auto"/>
              <w:jc w:val="right"/>
              <w:rPr>
                <w:b/>
                <w:bCs/>
                <w:color w:val="000000"/>
                <w:sz w:val="24"/>
              </w:rPr>
            </w:pPr>
            <w:r w:rsidRPr="008876C7">
              <w:rPr>
                <w:b/>
                <w:bCs/>
                <w:color w:val="000000"/>
                <w:sz w:val="24"/>
              </w:rPr>
              <w:t>207.100.000</w:t>
            </w:r>
          </w:p>
        </w:tc>
        <w:tc>
          <w:tcPr>
            <w:tcW w:w="1596" w:type="dxa"/>
            <w:shd w:val="clear" w:color="auto" w:fill="auto"/>
            <w:vAlign w:val="center"/>
          </w:tcPr>
          <w:p w14:paraId="27551849" w14:textId="77777777" w:rsidR="00B13F09" w:rsidRPr="008876C7" w:rsidRDefault="00B13F09" w:rsidP="008702A5">
            <w:pPr>
              <w:spacing w:after="0" w:line="240" w:lineRule="auto"/>
              <w:jc w:val="right"/>
              <w:rPr>
                <w:b/>
                <w:bCs/>
                <w:color w:val="000000"/>
                <w:sz w:val="24"/>
              </w:rPr>
            </w:pPr>
            <w:r w:rsidRPr="008876C7">
              <w:rPr>
                <w:b/>
                <w:bCs/>
                <w:color w:val="000000"/>
                <w:sz w:val="24"/>
              </w:rPr>
              <w:t>598.190.000</w:t>
            </w:r>
          </w:p>
        </w:tc>
        <w:tc>
          <w:tcPr>
            <w:tcW w:w="1596" w:type="dxa"/>
            <w:shd w:val="clear" w:color="auto" w:fill="auto"/>
            <w:vAlign w:val="center"/>
          </w:tcPr>
          <w:p w14:paraId="069174F3" w14:textId="77777777" w:rsidR="00B13F09" w:rsidRPr="008876C7" w:rsidRDefault="00B13F09" w:rsidP="008702A5">
            <w:pPr>
              <w:spacing w:after="0" w:line="240" w:lineRule="auto"/>
              <w:jc w:val="right"/>
              <w:rPr>
                <w:b/>
                <w:bCs/>
                <w:color w:val="000000"/>
                <w:sz w:val="24"/>
              </w:rPr>
            </w:pPr>
            <w:r w:rsidRPr="008876C7">
              <w:rPr>
                <w:b/>
                <w:bCs/>
                <w:color w:val="000000"/>
                <w:sz w:val="24"/>
              </w:rPr>
              <w:t>207.100.000</w:t>
            </w:r>
          </w:p>
        </w:tc>
        <w:tc>
          <w:tcPr>
            <w:tcW w:w="1596" w:type="dxa"/>
            <w:shd w:val="clear" w:color="auto" w:fill="auto"/>
            <w:vAlign w:val="center"/>
          </w:tcPr>
          <w:p w14:paraId="15404C3F" w14:textId="77777777" w:rsidR="00B13F09" w:rsidRPr="008876C7" w:rsidRDefault="00B13F09" w:rsidP="008702A5">
            <w:pPr>
              <w:spacing w:after="0" w:line="240" w:lineRule="auto"/>
              <w:jc w:val="right"/>
              <w:rPr>
                <w:b/>
                <w:bCs/>
                <w:color w:val="000000"/>
                <w:sz w:val="24"/>
              </w:rPr>
            </w:pPr>
            <w:r w:rsidRPr="008876C7">
              <w:rPr>
                <w:b/>
                <w:bCs/>
                <w:color w:val="000000"/>
                <w:sz w:val="24"/>
              </w:rPr>
              <w:t>391.090.000</w:t>
            </w:r>
          </w:p>
        </w:tc>
        <w:tc>
          <w:tcPr>
            <w:tcW w:w="1554" w:type="dxa"/>
          </w:tcPr>
          <w:p w14:paraId="5B6AA4DD" w14:textId="77777777" w:rsidR="00B13F09" w:rsidRPr="008876C7" w:rsidRDefault="00B13F09" w:rsidP="008702A5">
            <w:pPr>
              <w:spacing w:after="0" w:line="240" w:lineRule="auto"/>
              <w:jc w:val="right"/>
              <w:rPr>
                <w:b/>
                <w:bCs/>
                <w:color w:val="000000"/>
                <w:sz w:val="24"/>
              </w:rPr>
            </w:pPr>
          </w:p>
        </w:tc>
      </w:tr>
      <w:tr w:rsidR="00B13F09" w:rsidRPr="008876C7" w14:paraId="1421F2B4" w14:textId="25438945" w:rsidTr="00B6160E">
        <w:tc>
          <w:tcPr>
            <w:tcW w:w="572" w:type="dxa"/>
            <w:shd w:val="clear" w:color="auto" w:fill="auto"/>
            <w:vAlign w:val="center"/>
          </w:tcPr>
          <w:p w14:paraId="1854931B" w14:textId="77777777" w:rsidR="00B13F09" w:rsidRPr="008876C7" w:rsidRDefault="00B13F09" w:rsidP="008702A5">
            <w:pPr>
              <w:spacing w:after="0" w:line="240" w:lineRule="auto"/>
              <w:jc w:val="center"/>
              <w:rPr>
                <w:color w:val="000000"/>
                <w:sz w:val="24"/>
              </w:rPr>
            </w:pPr>
            <w:r w:rsidRPr="008876C7">
              <w:rPr>
                <w:color w:val="000000"/>
                <w:sz w:val="24"/>
              </w:rPr>
              <w:t>a)</w:t>
            </w:r>
          </w:p>
        </w:tc>
        <w:tc>
          <w:tcPr>
            <w:tcW w:w="1980" w:type="dxa"/>
            <w:shd w:val="clear" w:color="auto" w:fill="auto"/>
          </w:tcPr>
          <w:p w14:paraId="7F9C28C1" w14:textId="77777777" w:rsidR="00B13F09" w:rsidRPr="008876C7" w:rsidRDefault="00B13F09" w:rsidP="008702A5">
            <w:pPr>
              <w:spacing w:after="0" w:line="240" w:lineRule="auto"/>
              <w:jc w:val="both"/>
              <w:rPr>
                <w:color w:val="000000"/>
                <w:sz w:val="24"/>
              </w:rPr>
            </w:pPr>
            <w:r w:rsidRPr="008876C7">
              <w:rPr>
                <w:color w:val="000000"/>
                <w:sz w:val="24"/>
              </w:rPr>
              <w:t>Năm 2019 (02 cuộc)</w:t>
            </w:r>
          </w:p>
        </w:tc>
        <w:tc>
          <w:tcPr>
            <w:tcW w:w="1596" w:type="dxa"/>
            <w:shd w:val="clear" w:color="auto" w:fill="auto"/>
            <w:vAlign w:val="center"/>
          </w:tcPr>
          <w:p w14:paraId="24D46BED" w14:textId="77777777" w:rsidR="00B13F09" w:rsidRPr="008876C7" w:rsidRDefault="00B13F09" w:rsidP="008702A5">
            <w:pPr>
              <w:spacing w:after="0" w:line="240" w:lineRule="auto"/>
              <w:jc w:val="right"/>
              <w:rPr>
                <w:color w:val="000000"/>
                <w:sz w:val="24"/>
              </w:rPr>
            </w:pPr>
            <w:r w:rsidRPr="008876C7">
              <w:rPr>
                <w:color w:val="000000"/>
                <w:sz w:val="24"/>
              </w:rPr>
              <w:t>101.500.000</w:t>
            </w:r>
          </w:p>
        </w:tc>
        <w:tc>
          <w:tcPr>
            <w:tcW w:w="1596" w:type="dxa"/>
            <w:shd w:val="clear" w:color="auto" w:fill="auto"/>
            <w:vAlign w:val="center"/>
          </w:tcPr>
          <w:p w14:paraId="043D27A9" w14:textId="77777777" w:rsidR="00B13F09" w:rsidRPr="008876C7" w:rsidRDefault="00B13F09" w:rsidP="008702A5">
            <w:pPr>
              <w:spacing w:after="0" w:line="240" w:lineRule="auto"/>
              <w:jc w:val="right"/>
              <w:rPr>
                <w:color w:val="000000"/>
                <w:sz w:val="24"/>
              </w:rPr>
            </w:pPr>
            <w:r w:rsidRPr="008876C7">
              <w:rPr>
                <w:color w:val="000000"/>
                <w:sz w:val="24"/>
              </w:rPr>
              <w:t>300.500.000</w:t>
            </w:r>
          </w:p>
        </w:tc>
        <w:tc>
          <w:tcPr>
            <w:tcW w:w="1596" w:type="dxa"/>
            <w:shd w:val="clear" w:color="auto" w:fill="auto"/>
            <w:vAlign w:val="center"/>
          </w:tcPr>
          <w:p w14:paraId="39273997" w14:textId="77777777" w:rsidR="00B13F09" w:rsidRPr="008876C7" w:rsidRDefault="00B13F09" w:rsidP="008702A5">
            <w:pPr>
              <w:spacing w:after="0" w:line="240" w:lineRule="auto"/>
              <w:jc w:val="right"/>
              <w:rPr>
                <w:color w:val="000000"/>
                <w:sz w:val="24"/>
              </w:rPr>
            </w:pPr>
            <w:r w:rsidRPr="008876C7">
              <w:rPr>
                <w:color w:val="000000"/>
                <w:sz w:val="24"/>
              </w:rPr>
              <w:t>101.500.000</w:t>
            </w:r>
          </w:p>
        </w:tc>
        <w:tc>
          <w:tcPr>
            <w:tcW w:w="1596" w:type="dxa"/>
            <w:shd w:val="clear" w:color="auto" w:fill="auto"/>
            <w:vAlign w:val="center"/>
          </w:tcPr>
          <w:p w14:paraId="30D91C5D" w14:textId="77777777" w:rsidR="00B13F09" w:rsidRPr="008876C7" w:rsidRDefault="00B13F09" w:rsidP="008702A5">
            <w:pPr>
              <w:spacing w:after="0" w:line="240" w:lineRule="auto"/>
              <w:jc w:val="right"/>
              <w:rPr>
                <w:color w:val="000000"/>
                <w:sz w:val="24"/>
              </w:rPr>
            </w:pPr>
            <w:r w:rsidRPr="008876C7">
              <w:rPr>
                <w:color w:val="000000"/>
                <w:sz w:val="24"/>
              </w:rPr>
              <w:t>199.000.000</w:t>
            </w:r>
          </w:p>
        </w:tc>
        <w:tc>
          <w:tcPr>
            <w:tcW w:w="1554" w:type="dxa"/>
          </w:tcPr>
          <w:p w14:paraId="2AF5E233" w14:textId="77777777" w:rsidR="00B13F09" w:rsidRPr="008876C7" w:rsidRDefault="00B13F09" w:rsidP="008702A5">
            <w:pPr>
              <w:spacing w:after="0" w:line="240" w:lineRule="auto"/>
              <w:jc w:val="right"/>
              <w:rPr>
                <w:color w:val="000000"/>
                <w:sz w:val="24"/>
              </w:rPr>
            </w:pPr>
          </w:p>
        </w:tc>
      </w:tr>
      <w:tr w:rsidR="00B13F09" w:rsidRPr="008876C7" w14:paraId="09640A45" w14:textId="35F398F7" w:rsidTr="00B6160E">
        <w:tc>
          <w:tcPr>
            <w:tcW w:w="572" w:type="dxa"/>
            <w:shd w:val="clear" w:color="auto" w:fill="auto"/>
            <w:vAlign w:val="center"/>
          </w:tcPr>
          <w:p w14:paraId="7568B1D6" w14:textId="77777777" w:rsidR="00B13F09" w:rsidRPr="008876C7" w:rsidRDefault="00B13F09" w:rsidP="008702A5">
            <w:pPr>
              <w:spacing w:after="0" w:line="240" w:lineRule="auto"/>
              <w:jc w:val="both"/>
              <w:rPr>
                <w:color w:val="000000"/>
                <w:sz w:val="24"/>
              </w:rPr>
            </w:pPr>
          </w:p>
        </w:tc>
        <w:tc>
          <w:tcPr>
            <w:tcW w:w="1980" w:type="dxa"/>
            <w:shd w:val="clear" w:color="auto" w:fill="auto"/>
          </w:tcPr>
          <w:p w14:paraId="4C7B65C3" w14:textId="77777777" w:rsidR="00B13F09" w:rsidRPr="008876C7" w:rsidRDefault="00B13F09" w:rsidP="008702A5">
            <w:pPr>
              <w:spacing w:after="0" w:line="240" w:lineRule="auto"/>
              <w:jc w:val="both"/>
              <w:rPr>
                <w:color w:val="000000"/>
                <w:sz w:val="24"/>
              </w:rPr>
            </w:pPr>
            <w:r w:rsidRPr="008876C7">
              <w:rPr>
                <w:color w:val="000000"/>
                <w:sz w:val="24"/>
              </w:rPr>
              <w:t>- Nâng ngạch chuyên viên chính</w:t>
            </w:r>
          </w:p>
        </w:tc>
        <w:tc>
          <w:tcPr>
            <w:tcW w:w="1596" w:type="dxa"/>
            <w:shd w:val="clear" w:color="auto" w:fill="auto"/>
            <w:vAlign w:val="center"/>
          </w:tcPr>
          <w:p w14:paraId="34FBCFF8" w14:textId="77777777" w:rsidR="00B13F09" w:rsidRPr="008876C7" w:rsidRDefault="00B13F09" w:rsidP="008702A5">
            <w:pPr>
              <w:spacing w:after="0" w:line="240" w:lineRule="auto"/>
              <w:jc w:val="right"/>
              <w:rPr>
                <w:color w:val="000000"/>
                <w:sz w:val="24"/>
              </w:rPr>
            </w:pPr>
            <w:r w:rsidRPr="008876C7">
              <w:rPr>
                <w:color w:val="000000"/>
                <w:sz w:val="24"/>
              </w:rPr>
              <w:t>63.000.000</w:t>
            </w:r>
          </w:p>
        </w:tc>
        <w:tc>
          <w:tcPr>
            <w:tcW w:w="1596" w:type="dxa"/>
            <w:shd w:val="clear" w:color="auto" w:fill="auto"/>
            <w:vAlign w:val="center"/>
          </w:tcPr>
          <w:p w14:paraId="3B6626AD" w14:textId="77777777" w:rsidR="00B13F09" w:rsidRPr="008876C7" w:rsidRDefault="00B13F09" w:rsidP="008702A5">
            <w:pPr>
              <w:spacing w:after="0" w:line="240" w:lineRule="auto"/>
              <w:jc w:val="right"/>
              <w:rPr>
                <w:color w:val="000000"/>
                <w:sz w:val="24"/>
              </w:rPr>
            </w:pPr>
            <w:r w:rsidRPr="008876C7">
              <w:rPr>
                <w:color w:val="000000"/>
                <w:sz w:val="24"/>
              </w:rPr>
              <w:t>123.500.000</w:t>
            </w:r>
          </w:p>
        </w:tc>
        <w:tc>
          <w:tcPr>
            <w:tcW w:w="1596" w:type="dxa"/>
            <w:shd w:val="clear" w:color="auto" w:fill="auto"/>
            <w:vAlign w:val="center"/>
          </w:tcPr>
          <w:p w14:paraId="58E67C8F" w14:textId="77777777" w:rsidR="00B13F09" w:rsidRPr="008876C7" w:rsidRDefault="00B13F09" w:rsidP="008702A5">
            <w:pPr>
              <w:spacing w:after="0" w:line="240" w:lineRule="auto"/>
              <w:jc w:val="right"/>
              <w:rPr>
                <w:color w:val="000000"/>
                <w:sz w:val="24"/>
              </w:rPr>
            </w:pPr>
            <w:r w:rsidRPr="008876C7">
              <w:rPr>
                <w:color w:val="000000"/>
                <w:sz w:val="24"/>
              </w:rPr>
              <w:t>63.000.000</w:t>
            </w:r>
          </w:p>
        </w:tc>
        <w:tc>
          <w:tcPr>
            <w:tcW w:w="1596" w:type="dxa"/>
            <w:shd w:val="clear" w:color="auto" w:fill="auto"/>
            <w:vAlign w:val="center"/>
          </w:tcPr>
          <w:p w14:paraId="1D455F41" w14:textId="77777777" w:rsidR="00B13F09" w:rsidRPr="008876C7" w:rsidRDefault="00B13F09" w:rsidP="008702A5">
            <w:pPr>
              <w:spacing w:after="0" w:line="240" w:lineRule="auto"/>
              <w:jc w:val="right"/>
              <w:rPr>
                <w:color w:val="000000"/>
                <w:sz w:val="24"/>
              </w:rPr>
            </w:pPr>
            <w:r w:rsidRPr="008876C7">
              <w:rPr>
                <w:color w:val="000000"/>
                <w:sz w:val="24"/>
              </w:rPr>
              <w:t>60.500.000</w:t>
            </w:r>
          </w:p>
        </w:tc>
        <w:tc>
          <w:tcPr>
            <w:tcW w:w="1554" w:type="dxa"/>
          </w:tcPr>
          <w:p w14:paraId="5D401EC9" w14:textId="7325C101" w:rsidR="00B13F09" w:rsidRPr="008876C7" w:rsidRDefault="00B13F09" w:rsidP="008702A5">
            <w:pPr>
              <w:spacing w:after="0" w:line="240" w:lineRule="auto"/>
              <w:jc w:val="center"/>
              <w:rPr>
                <w:color w:val="000000"/>
                <w:sz w:val="24"/>
              </w:rPr>
            </w:pPr>
          </w:p>
        </w:tc>
      </w:tr>
      <w:tr w:rsidR="00B13F09" w:rsidRPr="008876C7" w14:paraId="7C163D9A" w14:textId="7FE9E3CD" w:rsidTr="00B6160E">
        <w:tc>
          <w:tcPr>
            <w:tcW w:w="572" w:type="dxa"/>
            <w:shd w:val="clear" w:color="auto" w:fill="auto"/>
            <w:vAlign w:val="center"/>
          </w:tcPr>
          <w:p w14:paraId="5DEAC1BF" w14:textId="77777777" w:rsidR="00B13F09" w:rsidRPr="008876C7" w:rsidRDefault="00B13F09" w:rsidP="008702A5">
            <w:pPr>
              <w:spacing w:after="0" w:line="240" w:lineRule="auto"/>
              <w:jc w:val="both"/>
              <w:rPr>
                <w:color w:val="000000"/>
                <w:sz w:val="24"/>
              </w:rPr>
            </w:pPr>
          </w:p>
        </w:tc>
        <w:tc>
          <w:tcPr>
            <w:tcW w:w="1980" w:type="dxa"/>
            <w:shd w:val="clear" w:color="auto" w:fill="auto"/>
          </w:tcPr>
          <w:p w14:paraId="12179D92" w14:textId="72C923E5" w:rsidR="00B13F09" w:rsidRPr="008876C7" w:rsidRDefault="00B13F09" w:rsidP="008702A5">
            <w:pPr>
              <w:spacing w:after="0" w:line="240" w:lineRule="auto"/>
              <w:jc w:val="both"/>
              <w:rPr>
                <w:color w:val="000000"/>
                <w:sz w:val="24"/>
              </w:rPr>
            </w:pPr>
            <w:r w:rsidRPr="008876C7">
              <w:rPr>
                <w:color w:val="000000"/>
                <w:sz w:val="24"/>
              </w:rPr>
              <w:t>-</w:t>
            </w:r>
            <w:r w:rsidR="004E6444">
              <w:rPr>
                <w:color w:val="000000"/>
                <w:sz w:val="24"/>
              </w:rPr>
              <w:t xml:space="preserve"> </w:t>
            </w:r>
            <w:r w:rsidRPr="008876C7">
              <w:rPr>
                <w:color w:val="000000"/>
                <w:sz w:val="24"/>
              </w:rPr>
              <w:t>Nâng ngạch chuyên viên</w:t>
            </w:r>
          </w:p>
        </w:tc>
        <w:tc>
          <w:tcPr>
            <w:tcW w:w="1596" w:type="dxa"/>
            <w:shd w:val="clear" w:color="auto" w:fill="auto"/>
            <w:vAlign w:val="center"/>
          </w:tcPr>
          <w:p w14:paraId="2F04B412" w14:textId="77777777" w:rsidR="00B13F09" w:rsidRPr="008876C7" w:rsidRDefault="00B13F09" w:rsidP="008702A5">
            <w:pPr>
              <w:spacing w:after="0" w:line="240" w:lineRule="auto"/>
              <w:jc w:val="right"/>
              <w:rPr>
                <w:color w:val="000000"/>
                <w:sz w:val="24"/>
              </w:rPr>
            </w:pPr>
            <w:r w:rsidRPr="008876C7">
              <w:rPr>
                <w:color w:val="000000"/>
                <w:sz w:val="24"/>
              </w:rPr>
              <w:t>38.500.000</w:t>
            </w:r>
          </w:p>
        </w:tc>
        <w:tc>
          <w:tcPr>
            <w:tcW w:w="1596" w:type="dxa"/>
            <w:shd w:val="clear" w:color="auto" w:fill="auto"/>
            <w:vAlign w:val="center"/>
          </w:tcPr>
          <w:p w14:paraId="627CDBB2" w14:textId="77777777" w:rsidR="00B13F09" w:rsidRPr="008876C7" w:rsidRDefault="00B13F09" w:rsidP="008702A5">
            <w:pPr>
              <w:spacing w:after="0" w:line="240" w:lineRule="auto"/>
              <w:jc w:val="right"/>
              <w:rPr>
                <w:color w:val="000000"/>
                <w:sz w:val="24"/>
              </w:rPr>
            </w:pPr>
            <w:r w:rsidRPr="008876C7">
              <w:rPr>
                <w:color w:val="000000"/>
                <w:sz w:val="24"/>
              </w:rPr>
              <w:t>177.000.000</w:t>
            </w:r>
          </w:p>
        </w:tc>
        <w:tc>
          <w:tcPr>
            <w:tcW w:w="1596" w:type="dxa"/>
            <w:shd w:val="clear" w:color="auto" w:fill="auto"/>
            <w:vAlign w:val="center"/>
          </w:tcPr>
          <w:p w14:paraId="6B052E9A" w14:textId="77777777" w:rsidR="00B13F09" w:rsidRPr="008876C7" w:rsidRDefault="00B13F09" w:rsidP="008702A5">
            <w:pPr>
              <w:spacing w:after="0" w:line="240" w:lineRule="auto"/>
              <w:jc w:val="right"/>
              <w:rPr>
                <w:color w:val="000000"/>
                <w:sz w:val="24"/>
              </w:rPr>
            </w:pPr>
            <w:r w:rsidRPr="008876C7">
              <w:rPr>
                <w:color w:val="000000"/>
                <w:sz w:val="24"/>
              </w:rPr>
              <w:t>38.500.000</w:t>
            </w:r>
          </w:p>
        </w:tc>
        <w:tc>
          <w:tcPr>
            <w:tcW w:w="1596" w:type="dxa"/>
            <w:shd w:val="clear" w:color="auto" w:fill="auto"/>
            <w:vAlign w:val="center"/>
          </w:tcPr>
          <w:p w14:paraId="40D9BC36" w14:textId="77777777" w:rsidR="00B13F09" w:rsidRPr="008876C7" w:rsidRDefault="00B13F09" w:rsidP="008702A5">
            <w:pPr>
              <w:spacing w:after="0" w:line="240" w:lineRule="auto"/>
              <w:jc w:val="right"/>
              <w:rPr>
                <w:color w:val="000000"/>
                <w:sz w:val="24"/>
              </w:rPr>
            </w:pPr>
            <w:r w:rsidRPr="008876C7">
              <w:rPr>
                <w:color w:val="000000"/>
                <w:sz w:val="24"/>
              </w:rPr>
              <w:t>138.500.000</w:t>
            </w:r>
          </w:p>
        </w:tc>
        <w:tc>
          <w:tcPr>
            <w:tcW w:w="1554" w:type="dxa"/>
          </w:tcPr>
          <w:p w14:paraId="4AD5270F" w14:textId="77777777" w:rsidR="00B13F09" w:rsidRPr="008876C7" w:rsidRDefault="00B13F09" w:rsidP="008702A5">
            <w:pPr>
              <w:spacing w:after="0" w:line="240" w:lineRule="auto"/>
              <w:jc w:val="right"/>
              <w:rPr>
                <w:color w:val="000000"/>
                <w:sz w:val="24"/>
              </w:rPr>
            </w:pPr>
          </w:p>
        </w:tc>
      </w:tr>
      <w:tr w:rsidR="00B13F09" w:rsidRPr="008876C7" w14:paraId="78FA8437" w14:textId="6E484064" w:rsidTr="00B6160E">
        <w:tc>
          <w:tcPr>
            <w:tcW w:w="572" w:type="dxa"/>
            <w:shd w:val="clear" w:color="auto" w:fill="auto"/>
            <w:vAlign w:val="center"/>
          </w:tcPr>
          <w:p w14:paraId="7C4642EA" w14:textId="77777777" w:rsidR="00B13F09" w:rsidRPr="008876C7" w:rsidRDefault="00B13F09" w:rsidP="008702A5">
            <w:pPr>
              <w:spacing w:after="0" w:line="240" w:lineRule="auto"/>
              <w:jc w:val="center"/>
              <w:rPr>
                <w:color w:val="000000"/>
                <w:sz w:val="24"/>
              </w:rPr>
            </w:pPr>
            <w:r w:rsidRPr="008876C7">
              <w:rPr>
                <w:color w:val="000000"/>
                <w:sz w:val="24"/>
              </w:rPr>
              <w:t>b)</w:t>
            </w:r>
          </w:p>
        </w:tc>
        <w:tc>
          <w:tcPr>
            <w:tcW w:w="1980" w:type="dxa"/>
            <w:shd w:val="clear" w:color="auto" w:fill="auto"/>
          </w:tcPr>
          <w:p w14:paraId="2E820285" w14:textId="77777777" w:rsidR="00B13F09" w:rsidRPr="008876C7" w:rsidRDefault="00B13F09" w:rsidP="008702A5">
            <w:pPr>
              <w:spacing w:after="0" w:line="240" w:lineRule="auto"/>
              <w:jc w:val="both"/>
              <w:rPr>
                <w:color w:val="000000"/>
                <w:sz w:val="24"/>
              </w:rPr>
            </w:pPr>
            <w:r w:rsidRPr="008876C7">
              <w:rPr>
                <w:color w:val="000000"/>
                <w:sz w:val="24"/>
              </w:rPr>
              <w:t>Năm 2021 (01 cuộc, bao gồm nâng ngạch chuyên viên và nâng ngạch chuyên viên chính)</w:t>
            </w:r>
          </w:p>
        </w:tc>
        <w:tc>
          <w:tcPr>
            <w:tcW w:w="1596" w:type="dxa"/>
            <w:shd w:val="clear" w:color="auto" w:fill="auto"/>
            <w:vAlign w:val="center"/>
          </w:tcPr>
          <w:p w14:paraId="4CA7775E" w14:textId="77777777" w:rsidR="00B13F09" w:rsidRPr="008876C7" w:rsidRDefault="00B13F09" w:rsidP="008702A5">
            <w:pPr>
              <w:spacing w:after="0" w:line="240" w:lineRule="auto"/>
              <w:jc w:val="right"/>
              <w:rPr>
                <w:color w:val="000000"/>
                <w:sz w:val="24"/>
              </w:rPr>
            </w:pPr>
            <w:r w:rsidRPr="008876C7">
              <w:rPr>
                <w:color w:val="000000"/>
                <w:sz w:val="24"/>
              </w:rPr>
              <w:t>105.600.000</w:t>
            </w:r>
          </w:p>
        </w:tc>
        <w:tc>
          <w:tcPr>
            <w:tcW w:w="1596" w:type="dxa"/>
            <w:shd w:val="clear" w:color="auto" w:fill="auto"/>
            <w:vAlign w:val="center"/>
          </w:tcPr>
          <w:p w14:paraId="4F9B1CD3" w14:textId="77777777" w:rsidR="00B13F09" w:rsidRPr="008876C7" w:rsidRDefault="00B13F09" w:rsidP="008702A5">
            <w:pPr>
              <w:spacing w:after="0" w:line="240" w:lineRule="auto"/>
              <w:jc w:val="right"/>
              <w:rPr>
                <w:color w:val="000000"/>
                <w:sz w:val="24"/>
              </w:rPr>
            </w:pPr>
            <w:r w:rsidRPr="008876C7">
              <w:rPr>
                <w:color w:val="000000"/>
                <w:sz w:val="24"/>
              </w:rPr>
              <w:t>297.690.000</w:t>
            </w:r>
          </w:p>
        </w:tc>
        <w:tc>
          <w:tcPr>
            <w:tcW w:w="1596" w:type="dxa"/>
            <w:shd w:val="clear" w:color="auto" w:fill="auto"/>
            <w:vAlign w:val="center"/>
          </w:tcPr>
          <w:p w14:paraId="0CADB607" w14:textId="77777777" w:rsidR="00B13F09" w:rsidRPr="008876C7" w:rsidRDefault="00B13F09" w:rsidP="008702A5">
            <w:pPr>
              <w:spacing w:after="0" w:line="240" w:lineRule="auto"/>
              <w:jc w:val="right"/>
              <w:rPr>
                <w:color w:val="000000"/>
                <w:sz w:val="24"/>
              </w:rPr>
            </w:pPr>
            <w:r w:rsidRPr="008876C7">
              <w:rPr>
                <w:color w:val="000000"/>
                <w:sz w:val="24"/>
              </w:rPr>
              <w:t>105.600.000</w:t>
            </w:r>
          </w:p>
        </w:tc>
        <w:tc>
          <w:tcPr>
            <w:tcW w:w="1596" w:type="dxa"/>
            <w:shd w:val="clear" w:color="auto" w:fill="auto"/>
            <w:vAlign w:val="center"/>
          </w:tcPr>
          <w:p w14:paraId="7F2CE92E" w14:textId="77777777" w:rsidR="00B13F09" w:rsidRPr="008876C7" w:rsidRDefault="00B13F09" w:rsidP="008702A5">
            <w:pPr>
              <w:spacing w:after="0" w:line="240" w:lineRule="auto"/>
              <w:jc w:val="right"/>
              <w:rPr>
                <w:color w:val="000000"/>
                <w:sz w:val="24"/>
              </w:rPr>
            </w:pPr>
            <w:r w:rsidRPr="008876C7">
              <w:rPr>
                <w:color w:val="000000"/>
                <w:sz w:val="24"/>
              </w:rPr>
              <w:t>192.090.000</w:t>
            </w:r>
          </w:p>
        </w:tc>
        <w:tc>
          <w:tcPr>
            <w:tcW w:w="1554" w:type="dxa"/>
          </w:tcPr>
          <w:p w14:paraId="64DB2347" w14:textId="77777777" w:rsidR="00B13F09" w:rsidRPr="008876C7" w:rsidRDefault="00B13F09" w:rsidP="008702A5">
            <w:pPr>
              <w:spacing w:after="0" w:line="240" w:lineRule="auto"/>
              <w:jc w:val="right"/>
              <w:rPr>
                <w:color w:val="000000"/>
                <w:sz w:val="24"/>
              </w:rPr>
            </w:pPr>
          </w:p>
        </w:tc>
      </w:tr>
      <w:tr w:rsidR="00B13F09" w:rsidRPr="008876C7" w14:paraId="00E06083" w14:textId="45E54AD0" w:rsidTr="00B6160E">
        <w:tc>
          <w:tcPr>
            <w:tcW w:w="572" w:type="dxa"/>
            <w:shd w:val="clear" w:color="auto" w:fill="auto"/>
            <w:vAlign w:val="center"/>
          </w:tcPr>
          <w:p w14:paraId="3DAF3195" w14:textId="77777777" w:rsidR="00B13F09" w:rsidRPr="008876C7" w:rsidRDefault="00B13F09" w:rsidP="008702A5">
            <w:pPr>
              <w:spacing w:after="0" w:line="240" w:lineRule="auto"/>
              <w:jc w:val="center"/>
              <w:rPr>
                <w:b/>
                <w:bCs/>
                <w:color w:val="000000"/>
                <w:sz w:val="24"/>
              </w:rPr>
            </w:pPr>
            <w:r w:rsidRPr="008876C7">
              <w:rPr>
                <w:b/>
                <w:bCs/>
                <w:color w:val="000000"/>
                <w:sz w:val="24"/>
              </w:rPr>
              <w:t>3</w:t>
            </w:r>
          </w:p>
        </w:tc>
        <w:tc>
          <w:tcPr>
            <w:tcW w:w="1980" w:type="dxa"/>
            <w:shd w:val="clear" w:color="auto" w:fill="auto"/>
          </w:tcPr>
          <w:p w14:paraId="050E07DC" w14:textId="77777777" w:rsidR="00B13F09" w:rsidRPr="008876C7" w:rsidRDefault="00B13F09" w:rsidP="008702A5">
            <w:pPr>
              <w:spacing w:after="0" w:line="240" w:lineRule="auto"/>
              <w:jc w:val="both"/>
              <w:rPr>
                <w:b/>
                <w:bCs/>
                <w:color w:val="000000"/>
                <w:sz w:val="24"/>
              </w:rPr>
            </w:pPr>
            <w:r w:rsidRPr="008876C7">
              <w:rPr>
                <w:b/>
                <w:bCs/>
                <w:color w:val="000000"/>
                <w:sz w:val="24"/>
              </w:rPr>
              <w:t>Thăng hạng viên chức (01 cuộc, từ hạng III lên hạng II, do tỉnh tổ chức)</w:t>
            </w:r>
          </w:p>
        </w:tc>
        <w:tc>
          <w:tcPr>
            <w:tcW w:w="1596" w:type="dxa"/>
            <w:shd w:val="clear" w:color="auto" w:fill="auto"/>
            <w:vAlign w:val="center"/>
          </w:tcPr>
          <w:p w14:paraId="06503786" w14:textId="77777777" w:rsidR="00B13F09" w:rsidRPr="008876C7" w:rsidRDefault="00B13F09" w:rsidP="008702A5">
            <w:pPr>
              <w:spacing w:after="0" w:line="240" w:lineRule="auto"/>
              <w:jc w:val="right"/>
              <w:rPr>
                <w:b/>
                <w:bCs/>
                <w:color w:val="000000"/>
                <w:sz w:val="24"/>
              </w:rPr>
            </w:pPr>
            <w:r w:rsidRPr="008876C7">
              <w:rPr>
                <w:b/>
                <w:bCs/>
                <w:color w:val="000000"/>
                <w:sz w:val="24"/>
              </w:rPr>
              <w:t>249.500.000</w:t>
            </w:r>
          </w:p>
        </w:tc>
        <w:tc>
          <w:tcPr>
            <w:tcW w:w="1596" w:type="dxa"/>
            <w:shd w:val="clear" w:color="auto" w:fill="auto"/>
            <w:vAlign w:val="center"/>
          </w:tcPr>
          <w:p w14:paraId="4E6ED6C9" w14:textId="77777777" w:rsidR="00B13F09" w:rsidRPr="008876C7" w:rsidRDefault="00B13F09" w:rsidP="008702A5">
            <w:pPr>
              <w:spacing w:after="0" w:line="240" w:lineRule="auto"/>
              <w:jc w:val="right"/>
              <w:rPr>
                <w:b/>
                <w:bCs/>
                <w:color w:val="000000"/>
                <w:sz w:val="24"/>
              </w:rPr>
            </w:pPr>
            <w:r w:rsidRPr="008876C7">
              <w:rPr>
                <w:b/>
                <w:bCs/>
                <w:color w:val="000000"/>
                <w:sz w:val="24"/>
              </w:rPr>
              <w:t>381.500.000</w:t>
            </w:r>
          </w:p>
        </w:tc>
        <w:tc>
          <w:tcPr>
            <w:tcW w:w="1596" w:type="dxa"/>
            <w:shd w:val="clear" w:color="auto" w:fill="auto"/>
            <w:vAlign w:val="center"/>
          </w:tcPr>
          <w:p w14:paraId="0D32C553" w14:textId="77777777" w:rsidR="00B13F09" w:rsidRPr="008876C7" w:rsidRDefault="00B13F09" w:rsidP="008702A5">
            <w:pPr>
              <w:spacing w:after="0" w:line="240" w:lineRule="auto"/>
              <w:jc w:val="right"/>
              <w:rPr>
                <w:b/>
                <w:bCs/>
                <w:color w:val="000000"/>
                <w:sz w:val="24"/>
              </w:rPr>
            </w:pPr>
            <w:r w:rsidRPr="008876C7">
              <w:rPr>
                <w:b/>
                <w:bCs/>
                <w:color w:val="000000"/>
                <w:sz w:val="24"/>
              </w:rPr>
              <w:t>249.500.000</w:t>
            </w:r>
          </w:p>
        </w:tc>
        <w:tc>
          <w:tcPr>
            <w:tcW w:w="1596" w:type="dxa"/>
            <w:shd w:val="clear" w:color="auto" w:fill="auto"/>
            <w:vAlign w:val="center"/>
          </w:tcPr>
          <w:p w14:paraId="6FC8AEA2" w14:textId="77777777" w:rsidR="00B13F09" w:rsidRPr="008876C7" w:rsidRDefault="00B13F09" w:rsidP="008702A5">
            <w:pPr>
              <w:spacing w:after="0" w:line="240" w:lineRule="auto"/>
              <w:jc w:val="right"/>
              <w:rPr>
                <w:b/>
                <w:bCs/>
                <w:color w:val="000000"/>
                <w:sz w:val="24"/>
              </w:rPr>
            </w:pPr>
            <w:r w:rsidRPr="008876C7">
              <w:rPr>
                <w:b/>
                <w:bCs/>
                <w:color w:val="000000"/>
                <w:sz w:val="24"/>
              </w:rPr>
              <w:t>132.000.000</w:t>
            </w:r>
          </w:p>
        </w:tc>
        <w:tc>
          <w:tcPr>
            <w:tcW w:w="1554" w:type="dxa"/>
          </w:tcPr>
          <w:p w14:paraId="0873D63F" w14:textId="77777777" w:rsidR="00B13F09" w:rsidRPr="008876C7" w:rsidRDefault="00B13F09" w:rsidP="008702A5">
            <w:pPr>
              <w:spacing w:after="0" w:line="240" w:lineRule="auto"/>
              <w:jc w:val="right"/>
              <w:rPr>
                <w:b/>
                <w:bCs/>
                <w:color w:val="000000"/>
                <w:sz w:val="24"/>
              </w:rPr>
            </w:pPr>
          </w:p>
        </w:tc>
      </w:tr>
      <w:tr w:rsidR="00B13F09" w:rsidRPr="008876C7" w14:paraId="1C2E0783" w14:textId="5EEEE9B4" w:rsidTr="00B6160E">
        <w:tc>
          <w:tcPr>
            <w:tcW w:w="572" w:type="dxa"/>
            <w:shd w:val="clear" w:color="auto" w:fill="auto"/>
            <w:vAlign w:val="center"/>
          </w:tcPr>
          <w:p w14:paraId="3AE3252E" w14:textId="77777777" w:rsidR="00B13F09" w:rsidRPr="008876C7" w:rsidRDefault="00B13F09" w:rsidP="008702A5">
            <w:pPr>
              <w:spacing w:after="0" w:line="240" w:lineRule="auto"/>
              <w:jc w:val="center"/>
              <w:rPr>
                <w:b/>
                <w:bCs/>
                <w:color w:val="000000"/>
                <w:sz w:val="24"/>
              </w:rPr>
            </w:pPr>
            <w:r w:rsidRPr="008876C7">
              <w:rPr>
                <w:b/>
                <w:bCs/>
                <w:color w:val="000000"/>
                <w:sz w:val="24"/>
              </w:rPr>
              <w:lastRenderedPageBreak/>
              <w:t>4</w:t>
            </w:r>
          </w:p>
        </w:tc>
        <w:tc>
          <w:tcPr>
            <w:tcW w:w="1980" w:type="dxa"/>
            <w:shd w:val="clear" w:color="auto" w:fill="auto"/>
          </w:tcPr>
          <w:p w14:paraId="37163A44" w14:textId="77777777" w:rsidR="00B13F09" w:rsidRPr="008876C7" w:rsidRDefault="00B13F09" w:rsidP="008702A5">
            <w:pPr>
              <w:spacing w:after="0" w:line="240" w:lineRule="auto"/>
              <w:jc w:val="both"/>
              <w:rPr>
                <w:b/>
                <w:bCs/>
                <w:color w:val="000000"/>
                <w:sz w:val="24"/>
              </w:rPr>
            </w:pPr>
            <w:r w:rsidRPr="008876C7">
              <w:rPr>
                <w:b/>
                <w:bCs/>
                <w:color w:val="000000"/>
                <w:sz w:val="24"/>
              </w:rPr>
              <w:t>Tuyển dụng viên chức (2</w:t>
            </w:r>
            <w:r>
              <w:rPr>
                <w:b/>
                <w:bCs/>
                <w:color w:val="000000"/>
                <w:sz w:val="24"/>
              </w:rPr>
              <w:t>8</w:t>
            </w:r>
            <w:r w:rsidRPr="008876C7">
              <w:rPr>
                <w:b/>
                <w:bCs/>
                <w:color w:val="000000"/>
                <w:sz w:val="24"/>
              </w:rPr>
              <w:t xml:space="preserve"> cuộc)</w:t>
            </w:r>
          </w:p>
        </w:tc>
        <w:tc>
          <w:tcPr>
            <w:tcW w:w="1596" w:type="dxa"/>
            <w:shd w:val="clear" w:color="auto" w:fill="auto"/>
            <w:vAlign w:val="center"/>
          </w:tcPr>
          <w:p w14:paraId="6AC61EDD" w14:textId="77777777" w:rsidR="00B13F09" w:rsidRPr="008876C7" w:rsidRDefault="00B13F09" w:rsidP="008702A5">
            <w:pPr>
              <w:spacing w:after="0" w:line="240" w:lineRule="auto"/>
              <w:jc w:val="right"/>
              <w:rPr>
                <w:b/>
                <w:bCs/>
                <w:color w:val="000000"/>
                <w:sz w:val="24"/>
              </w:rPr>
            </w:pPr>
            <w:r>
              <w:rPr>
                <w:b/>
                <w:bCs/>
                <w:color w:val="000000"/>
                <w:sz w:val="24"/>
              </w:rPr>
              <w:t>1.041.050</w:t>
            </w:r>
            <w:r w:rsidRPr="008876C7">
              <w:rPr>
                <w:b/>
                <w:bCs/>
                <w:color w:val="000000"/>
                <w:sz w:val="24"/>
              </w:rPr>
              <w:t>.000</w:t>
            </w:r>
          </w:p>
        </w:tc>
        <w:tc>
          <w:tcPr>
            <w:tcW w:w="1596" w:type="dxa"/>
            <w:shd w:val="clear" w:color="auto" w:fill="auto"/>
            <w:vAlign w:val="center"/>
          </w:tcPr>
          <w:p w14:paraId="4D9AEE29" w14:textId="77777777" w:rsidR="00B13F09" w:rsidRPr="008876C7" w:rsidRDefault="00B13F09" w:rsidP="008702A5">
            <w:pPr>
              <w:spacing w:after="0" w:line="240" w:lineRule="auto"/>
              <w:jc w:val="right"/>
              <w:rPr>
                <w:b/>
                <w:bCs/>
                <w:color w:val="000000"/>
                <w:sz w:val="24"/>
              </w:rPr>
            </w:pPr>
            <w:r>
              <w:rPr>
                <w:b/>
                <w:bCs/>
                <w:color w:val="000000"/>
                <w:sz w:val="24"/>
              </w:rPr>
              <w:t>2.291.588</w:t>
            </w:r>
            <w:r w:rsidRPr="008876C7">
              <w:rPr>
                <w:b/>
                <w:bCs/>
                <w:color w:val="000000"/>
                <w:sz w:val="24"/>
              </w:rPr>
              <w:t>.908</w:t>
            </w:r>
          </w:p>
        </w:tc>
        <w:tc>
          <w:tcPr>
            <w:tcW w:w="1596" w:type="dxa"/>
            <w:shd w:val="clear" w:color="auto" w:fill="auto"/>
            <w:vAlign w:val="center"/>
          </w:tcPr>
          <w:p w14:paraId="4BAF67B2" w14:textId="77777777" w:rsidR="00B13F09" w:rsidRPr="008876C7" w:rsidRDefault="00B13F09" w:rsidP="008702A5">
            <w:pPr>
              <w:spacing w:after="0" w:line="240" w:lineRule="auto"/>
              <w:jc w:val="right"/>
              <w:rPr>
                <w:b/>
                <w:bCs/>
                <w:color w:val="000000"/>
                <w:sz w:val="24"/>
              </w:rPr>
            </w:pPr>
            <w:r>
              <w:rPr>
                <w:b/>
                <w:bCs/>
                <w:color w:val="000000"/>
                <w:sz w:val="24"/>
              </w:rPr>
              <w:t>1.041.050</w:t>
            </w:r>
            <w:r w:rsidRPr="008876C7">
              <w:rPr>
                <w:b/>
                <w:bCs/>
                <w:color w:val="000000"/>
                <w:sz w:val="24"/>
              </w:rPr>
              <w:t>.000</w:t>
            </w:r>
          </w:p>
        </w:tc>
        <w:tc>
          <w:tcPr>
            <w:tcW w:w="1596" w:type="dxa"/>
            <w:shd w:val="clear" w:color="auto" w:fill="auto"/>
            <w:vAlign w:val="center"/>
          </w:tcPr>
          <w:p w14:paraId="2329F879" w14:textId="77777777" w:rsidR="00B13F09" w:rsidRPr="008876C7" w:rsidRDefault="00B13F09" w:rsidP="008702A5">
            <w:pPr>
              <w:spacing w:after="0" w:line="240" w:lineRule="auto"/>
              <w:jc w:val="right"/>
              <w:rPr>
                <w:b/>
                <w:bCs/>
                <w:color w:val="000000"/>
                <w:sz w:val="24"/>
              </w:rPr>
            </w:pPr>
            <w:r>
              <w:rPr>
                <w:b/>
                <w:bCs/>
                <w:color w:val="000000"/>
                <w:sz w:val="24"/>
              </w:rPr>
              <w:t>1.250.538</w:t>
            </w:r>
            <w:r w:rsidRPr="008876C7">
              <w:rPr>
                <w:b/>
                <w:bCs/>
                <w:color w:val="000000"/>
                <w:sz w:val="24"/>
              </w:rPr>
              <w:t>.908</w:t>
            </w:r>
          </w:p>
        </w:tc>
        <w:tc>
          <w:tcPr>
            <w:tcW w:w="1554" w:type="dxa"/>
          </w:tcPr>
          <w:p w14:paraId="0E888EC9" w14:textId="77777777" w:rsidR="00B13F09" w:rsidRDefault="00B13F09" w:rsidP="008702A5">
            <w:pPr>
              <w:spacing w:after="0" w:line="240" w:lineRule="auto"/>
              <w:jc w:val="right"/>
              <w:rPr>
                <w:b/>
                <w:bCs/>
                <w:color w:val="000000"/>
                <w:sz w:val="24"/>
              </w:rPr>
            </w:pPr>
          </w:p>
        </w:tc>
      </w:tr>
      <w:tr w:rsidR="00B13F09" w:rsidRPr="008876C7" w14:paraId="5DCEB97E" w14:textId="27DA7A2E" w:rsidTr="00B6160E">
        <w:tc>
          <w:tcPr>
            <w:tcW w:w="572" w:type="dxa"/>
            <w:shd w:val="clear" w:color="auto" w:fill="auto"/>
            <w:vAlign w:val="center"/>
          </w:tcPr>
          <w:p w14:paraId="2CE2DFFE" w14:textId="77777777" w:rsidR="00B13F09" w:rsidRPr="008876C7" w:rsidRDefault="00B13F09" w:rsidP="008702A5">
            <w:pPr>
              <w:spacing w:after="0" w:line="240" w:lineRule="auto"/>
              <w:jc w:val="center"/>
              <w:rPr>
                <w:b/>
                <w:bCs/>
                <w:color w:val="000000"/>
                <w:sz w:val="24"/>
              </w:rPr>
            </w:pPr>
          </w:p>
        </w:tc>
        <w:tc>
          <w:tcPr>
            <w:tcW w:w="1980" w:type="dxa"/>
            <w:shd w:val="clear" w:color="auto" w:fill="auto"/>
          </w:tcPr>
          <w:p w14:paraId="16B7DDFB" w14:textId="77777777" w:rsidR="00B13F09" w:rsidRPr="00D71E6E" w:rsidRDefault="00B13F09" w:rsidP="008702A5">
            <w:pPr>
              <w:spacing w:after="0" w:line="240" w:lineRule="auto"/>
              <w:jc w:val="both"/>
              <w:rPr>
                <w:color w:val="000000"/>
                <w:spacing w:val="-10"/>
                <w:sz w:val="24"/>
              </w:rPr>
            </w:pPr>
            <w:r w:rsidRPr="00D71E6E">
              <w:rPr>
                <w:color w:val="000000"/>
                <w:spacing w:val="-10"/>
                <w:sz w:val="24"/>
              </w:rPr>
              <w:t>- Năm 2019 (10 cuộc, trong đó do các sở, ban, ngành và tương đương cấp tỉnh tổ chức 06 cuộc, UBND cấp huyện tổ chức 03 cuộc)</w:t>
            </w:r>
          </w:p>
        </w:tc>
        <w:tc>
          <w:tcPr>
            <w:tcW w:w="1596" w:type="dxa"/>
            <w:shd w:val="clear" w:color="auto" w:fill="auto"/>
            <w:vAlign w:val="center"/>
          </w:tcPr>
          <w:p w14:paraId="26CB9D55" w14:textId="77777777" w:rsidR="00B13F09" w:rsidRPr="008876C7" w:rsidRDefault="00B13F09" w:rsidP="008702A5">
            <w:pPr>
              <w:spacing w:after="0" w:line="240" w:lineRule="auto"/>
              <w:jc w:val="right"/>
              <w:rPr>
                <w:color w:val="000000"/>
                <w:sz w:val="24"/>
              </w:rPr>
            </w:pPr>
            <w:r>
              <w:rPr>
                <w:color w:val="000000"/>
                <w:sz w:val="24"/>
              </w:rPr>
              <w:t>599.7</w:t>
            </w:r>
            <w:r w:rsidRPr="008876C7">
              <w:rPr>
                <w:color w:val="000000"/>
                <w:sz w:val="24"/>
              </w:rPr>
              <w:t>00.000</w:t>
            </w:r>
          </w:p>
        </w:tc>
        <w:tc>
          <w:tcPr>
            <w:tcW w:w="1596" w:type="dxa"/>
            <w:shd w:val="clear" w:color="auto" w:fill="auto"/>
            <w:vAlign w:val="center"/>
          </w:tcPr>
          <w:p w14:paraId="6C5F93BA" w14:textId="77777777" w:rsidR="00B13F09" w:rsidRPr="008876C7" w:rsidRDefault="00B13F09" w:rsidP="008702A5">
            <w:pPr>
              <w:spacing w:after="0" w:line="240" w:lineRule="auto"/>
              <w:jc w:val="right"/>
              <w:rPr>
                <w:color w:val="000000"/>
                <w:sz w:val="24"/>
              </w:rPr>
            </w:pPr>
            <w:r>
              <w:rPr>
                <w:color w:val="000000"/>
                <w:sz w:val="24"/>
              </w:rPr>
              <w:t>635.357</w:t>
            </w:r>
            <w:r w:rsidRPr="008876C7">
              <w:rPr>
                <w:color w:val="000000"/>
                <w:sz w:val="24"/>
              </w:rPr>
              <w:t>.908</w:t>
            </w:r>
          </w:p>
        </w:tc>
        <w:tc>
          <w:tcPr>
            <w:tcW w:w="1596" w:type="dxa"/>
            <w:shd w:val="clear" w:color="auto" w:fill="auto"/>
            <w:vAlign w:val="center"/>
          </w:tcPr>
          <w:p w14:paraId="29B33C36" w14:textId="77777777" w:rsidR="00B13F09" w:rsidRPr="008876C7" w:rsidRDefault="00B13F09" w:rsidP="008702A5">
            <w:pPr>
              <w:spacing w:after="0" w:line="240" w:lineRule="auto"/>
              <w:jc w:val="right"/>
              <w:rPr>
                <w:color w:val="000000"/>
                <w:sz w:val="24"/>
              </w:rPr>
            </w:pPr>
            <w:r>
              <w:rPr>
                <w:color w:val="000000"/>
                <w:sz w:val="24"/>
              </w:rPr>
              <w:t>599</w:t>
            </w:r>
            <w:r w:rsidRPr="008876C7">
              <w:rPr>
                <w:color w:val="000000"/>
                <w:sz w:val="24"/>
              </w:rPr>
              <w:t>.</w:t>
            </w:r>
            <w:r>
              <w:rPr>
                <w:color w:val="000000"/>
                <w:sz w:val="24"/>
              </w:rPr>
              <w:t>7</w:t>
            </w:r>
            <w:r w:rsidRPr="008876C7">
              <w:rPr>
                <w:color w:val="000000"/>
                <w:sz w:val="24"/>
              </w:rPr>
              <w:t>00.000</w:t>
            </w:r>
          </w:p>
        </w:tc>
        <w:tc>
          <w:tcPr>
            <w:tcW w:w="1596" w:type="dxa"/>
            <w:shd w:val="clear" w:color="auto" w:fill="auto"/>
            <w:vAlign w:val="center"/>
          </w:tcPr>
          <w:p w14:paraId="5C199DFC" w14:textId="77777777" w:rsidR="00B13F09" w:rsidRPr="008876C7" w:rsidRDefault="00B13F09" w:rsidP="008702A5">
            <w:pPr>
              <w:spacing w:after="0" w:line="240" w:lineRule="auto"/>
              <w:jc w:val="right"/>
              <w:rPr>
                <w:color w:val="000000"/>
                <w:sz w:val="24"/>
              </w:rPr>
            </w:pPr>
            <w:r w:rsidRPr="008876C7">
              <w:rPr>
                <w:color w:val="000000"/>
                <w:sz w:val="24"/>
              </w:rPr>
              <w:t>35.657.908</w:t>
            </w:r>
          </w:p>
        </w:tc>
        <w:tc>
          <w:tcPr>
            <w:tcW w:w="1554" w:type="dxa"/>
          </w:tcPr>
          <w:p w14:paraId="038E034B" w14:textId="77777777" w:rsidR="00B13F09" w:rsidRPr="008876C7" w:rsidRDefault="00B13F09" w:rsidP="008702A5">
            <w:pPr>
              <w:spacing w:after="0" w:line="240" w:lineRule="auto"/>
              <w:jc w:val="right"/>
              <w:rPr>
                <w:color w:val="000000"/>
                <w:sz w:val="24"/>
              </w:rPr>
            </w:pPr>
          </w:p>
        </w:tc>
      </w:tr>
      <w:tr w:rsidR="00B13F09" w:rsidRPr="008876C7" w14:paraId="25A5F01F" w14:textId="7A20F9C8" w:rsidTr="00B6160E">
        <w:tc>
          <w:tcPr>
            <w:tcW w:w="572" w:type="dxa"/>
            <w:shd w:val="clear" w:color="auto" w:fill="auto"/>
            <w:vAlign w:val="center"/>
          </w:tcPr>
          <w:p w14:paraId="5EAEF4A8" w14:textId="77777777" w:rsidR="00B13F09" w:rsidRPr="008876C7" w:rsidRDefault="00B13F09" w:rsidP="008702A5">
            <w:pPr>
              <w:spacing w:after="0" w:line="240" w:lineRule="auto"/>
              <w:jc w:val="center"/>
              <w:rPr>
                <w:b/>
                <w:bCs/>
                <w:color w:val="000000"/>
                <w:sz w:val="24"/>
              </w:rPr>
            </w:pPr>
          </w:p>
        </w:tc>
        <w:tc>
          <w:tcPr>
            <w:tcW w:w="1980" w:type="dxa"/>
            <w:shd w:val="clear" w:color="auto" w:fill="auto"/>
          </w:tcPr>
          <w:p w14:paraId="78ECC1B8" w14:textId="77777777" w:rsidR="00B13F09" w:rsidRPr="008876C7" w:rsidRDefault="00B13F09" w:rsidP="008702A5">
            <w:pPr>
              <w:spacing w:after="0" w:line="240" w:lineRule="auto"/>
              <w:jc w:val="both"/>
              <w:rPr>
                <w:color w:val="000000"/>
                <w:sz w:val="24"/>
              </w:rPr>
            </w:pPr>
            <w:r w:rsidRPr="008876C7">
              <w:rPr>
                <w:color w:val="000000"/>
                <w:sz w:val="24"/>
              </w:rPr>
              <w:t>- Năm 2020 (0</w:t>
            </w:r>
            <w:r>
              <w:rPr>
                <w:color w:val="000000"/>
                <w:sz w:val="24"/>
              </w:rPr>
              <w:t>5</w:t>
            </w:r>
            <w:r w:rsidRPr="008876C7">
              <w:rPr>
                <w:color w:val="000000"/>
                <w:sz w:val="24"/>
              </w:rPr>
              <w:t xml:space="preserve"> cuộc do các sở, ban, ngành cấp tỉnh tổ chức)</w:t>
            </w:r>
          </w:p>
        </w:tc>
        <w:tc>
          <w:tcPr>
            <w:tcW w:w="1596" w:type="dxa"/>
            <w:shd w:val="clear" w:color="auto" w:fill="auto"/>
            <w:vAlign w:val="center"/>
          </w:tcPr>
          <w:p w14:paraId="2DD0B73E" w14:textId="77777777" w:rsidR="00B13F09" w:rsidRPr="008876C7" w:rsidRDefault="00B13F09" w:rsidP="008702A5">
            <w:pPr>
              <w:spacing w:after="0" w:line="240" w:lineRule="auto"/>
              <w:jc w:val="right"/>
              <w:rPr>
                <w:color w:val="000000"/>
                <w:sz w:val="24"/>
              </w:rPr>
            </w:pPr>
            <w:r>
              <w:rPr>
                <w:color w:val="000000"/>
                <w:sz w:val="24"/>
              </w:rPr>
              <w:t>99</w:t>
            </w:r>
            <w:r w:rsidRPr="008876C7">
              <w:rPr>
                <w:color w:val="000000"/>
                <w:sz w:val="24"/>
              </w:rPr>
              <w:t>.</w:t>
            </w:r>
            <w:r>
              <w:rPr>
                <w:color w:val="000000"/>
                <w:sz w:val="24"/>
              </w:rPr>
              <w:t>7</w:t>
            </w:r>
            <w:r w:rsidRPr="008876C7">
              <w:rPr>
                <w:color w:val="000000"/>
                <w:sz w:val="24"/>
              </w:rPr>
              <w:t>00.000</w:t>
            </w:r>
          </w:p>
        </w:tc>
        <w:tc>
          <w:tcPr>
            <w:tcW w:w="1596" w:type="dxa"/>
            <w:shd w:val="clear" w:color="auto" w:fill="auto"/>
            <w:vAlign w:val="center"/>
          </w:tcPr>
          <w:p w14:paraId="3B1281B1" w14:textId="77777777" w:rsidR="00B13F09" w:rsidRPr="008876C7" w:rsidRDefault="00B13F09" w:rsidP="008702A5">
            <w:pPr>
              <w:spacing w:after="0" w:line="240" w:lineRule="auto"/>
              <w:jc w:val="right"/>
              <w:rPr>
                <w:color w:val="000000"/>
                <w:sz w:val="24"/>
              </w:rPr>
            </w:pPr>
            <w:r>
              <w:rPr>
                <w:color w:val="000000"/>
                <w:sz w:val="24"/>
              </w:rPr>
              <w:t>184</w:t>
            </w:r>
            <w:r w:rsidRPr="008876C7">
              <w:rPr>
                <w:color w:val="000000"/>
                <w:sz w:val="24"/>
              </w:rPr>
              <w:t>.</w:t>
            </w:r>
            <w:r>
              <w:rPr>
                <w:color w:val="000000"/>
                <w:sz w:val="24"/>
              </w:rPr>
              <w:t>6</w:t>
            </w:r>
            <w:r w:rsidRPr="008876C7">
              <w:rPr>
                <w:color w:val="000000"/>
                <w:sz w:val="24"/>
              </w:rPr>
              <w:t>14.000</w:t>
            </w:r>
          </w:p>
        </w:tc>
        <w:tc>
          <w:tcPr>
            <w:tcW w:w="1596" w:type="dxa"/>
            <w:shd w:val="clear" w:color="auto" w:fill="auto"/>
            <w:vAlign w:val="center"/>
          </w:tcPr>
          <w:p w14:paraId="500637AB" w14:textId="77777777" w:rsidR="00B13F09" w:rsidRPr="008876C7" w:rsidRDefault="00B13F09" w:rsidP="008702A5">
            <w:pPr>
              <w:spacing w:after="0" w:line="240" w:lineRule="auto"/>
              <w:jc w:val="right"/>
              <w:rPr>
                <w:color w:val="000000"/>
                <w:sz w:val="24"/>
              </w:rPr>
            </w:pPr>
            <w:r>
              <w:rPr>
                <w:color w:val="000000"/>
                <w:sz w:val="24"/>
              </w:rPr>
              <w:t>99</w:t>
            </w:r>
            <w:r w:rsidRPr="008876C7">
              <w:rPr>
                <w:color w:val="000000"/>
                <w:sz w:val="24"/>
              </w:rPr>
              <w:t>.</w:t>
            </w:r>
            <w:r>
              <w:rPr>
                <w:color w:val="000000"/>
                <w:sz w:val="24"/>
              </w:rPr>
              <w:t>7</w:t>
            </w:r>
            <w:r w:rsidRPr="008876C7">
              <w:rPr>
                <w:color w:val="000000"/>
                <w:sz w:val="24"/>
              </w:rPr>
              <w:t>00.000</w:t>
            </w:r>
          </w:p>
        </w:tc>
        <w:tc>
          <w:tcPr>
            <w:tcW w:w="1596" w:type="dxa"/>
            <w:shd w:val="clear" w:color="auto" w:fill="auto"/>
            <w:vAlign w:val="center"/>
          </w:tcPr>
          <w:p w14:paraId="19928932" w14:textId="77777777" w:rsidR="00B13F09" w:rsidRPr="008876C7" w:rsidRDefault="00B13F09" w:rsidP="008702A5">
            <w:pPr>
              <w:spacing w:after="0" w:line="240" w:lineRule="auto"/>
              <w:jc w:val="right"/>
              <w:rPr>
                <w:color w:val="000000"/>
                <w:sz w:val="24"/>
              </w:rPr>
            </w:pPr>
            <w:r>
              <w:rPr>
                <w:color w:val="000000"/>
                <w:sz w:val="24"/>
              </w:rPr>
              <w:t>84.914</w:t>
            </w:r>
            <w:r w:rsidRPr="008876C7">
              <w:rPr>
                <w:color w:val="000000"/>
                <w:sz w:val="24"/>
              </w:rPr>
              <w:t>.000</w:t>
            </w:r>
          </w:p>
        </w:tc>
        <w:tc>
          <w:tcPr>
            <w:tcW w:w="1554" w:type="dxa"/>
          </w:tcPr>
          <w:p w14:paraId="5E1B6DEF" w14:textId="77777777" w:rsidR="00B13F09" w:rsidRDefault="00B13F09" w:rsidP="008702A5">
            <w:pPr>
              <w:spacing w:after="0" w:line="240" w:lineRule="auto"/>
              <w:jc w:val="right"/>
              <w:rPr>
                <w:color w:val="000000"/>
                <w:sz w:val="24"/>
              </w:rPr>
            </w:pPr>
          </w:p>
        </w:tc>
      </w:tr>
      <w:tr w:rsidR="00B13F09" w:rsidRPr="008876C7" w14:paraId="3B56408D" w14:textId="5D554277" w:rsidTr="00D71E6E">
        <w:trPr>
          <w:trHeight w:val="1876"/>
        </w:trPr>
        <w:tc>
          <w:tcPr>
            <w:tcW w:w="572" w:type="dxa"/>
            <w:shd w:val="clear" w:color="auto" w:fill="auto"/>
            <w:vAlign w:val="center"/>
          </w:tcPr>
          <w:p w14:paraId="69F9AE80" w14:textId="77777777" w:rsidR="00B13F09" w:rsidRPr="008876C7" w:rsidRDefault="00B13F09" w:rsidP="008702A5">
            <w:pPr>
              <w:spacing w:after="0" w:line="240" w:lineRule="auto"/>
              <w:jc w:val="center"/>
              <w:rPr>
                <w:b/>
                <w:bCs/>
                <w:color w:val="000000"/>
                <w:sz w:val="24"/>
              </w:rPr>
            </w:pPr>
          </w:p>
        </w:tc>
        <w:tc>
          <w:tcPr>
            <w:tcW w:w="1980" w:type="dxa"/>
            <w:shd w:val="clear" w:color="auto" w:fill="auto"/>
          </w:tcPr>
          <w:p w14:paraId="2AA84B27" w14:textId="77777777" w:rsidR="00B13F09" w:rsidRPr="00D71E6E" w:rsidRDefault="00B13F09" w:rsidP="008702A5">
            <w:pPr>
              <w:spacing w:after="0" w:line="240" w:lineRule="auto"/>
              <w:jc w:val="both"/>
              <w:rPr>
                <w:color w:val="000000"/>
                <w:spacing w:val="-10"/>
                <w:sz w:val="24"/>
              </w:rPr>
            </w:pPr>
            <w:r w:rsidRPr="00D71E6E">
              <w:rPr>
                <w:color w:val="000000"/>
                <w:spacing w:val="-10"/>
                <w:sz w:val="24"/>
              </w:rPr>
              <w:t>- Năm 2021 (13 cuộc, trong đó các sở, ban, ngành và tương đương cấp tỉnh tổ chức 08 cuộc, UBND cấp huyện tổ chức 03 cuộc)</w:t>
            </w:r>
          </w:p>
        </w:tc>
        <w:tc>
          <w:tcPr>
            <w:tcW w:w="1596" w:type="dxa"/>
            <w:shd w:val="clear" w:color="auto" w:fill="auto"/>
            <w:vAlign w:val="center"/>
          </w:tcPr>
          <w:p w14:paraId="1557EB2A" w14:textId="77777777" w:rsidR="00B13F09" w:rsidRPr="008876C7" w:rsidRDefault="00B13F09" w:rsidP="008702A5">
            <w:pPr>
              <w:spacing w:after="0" w:line="240" w:lineRule="auto"/>
              <w:jc w:val="right"/>
              <w:rPr>
                <w:color w:val="000000"/>
                <w:sz w:val="24"/>
              </w:rPr>
            </w:pPr>
            <w:r>
              <w:rPr>
                <w:color w:val="000000"/>
                <w:sz w:val="24"/>
              </w:rPr>
              <w:t>341</w:t>
            </w:r>
            <w:r w:rsidRPr="008876C7">
              <w:rPr>
                <w:color w:val="000000"/>
                <w:sz w:val="24"/>
              </w:rPr>
              <w:t>.650.000</w:t>
            </w:r>
          </w:p>
        </w:tc>
        <w:tc>
          <w:tcPr>
            <w:tcW w:w="1596" w:type="dxa"/>
            <w:shd w:val="clear" w:color="auto" w:fill="auto"/>
            <w:vAlign w:val="center"/>
          </w:tcPr>
          <w:p w14:paraId="68E5757C" w14:textId="77777777" w:rsidR="00B13F09" w:rsidRPr="008876C7" w:rsidRDefault="00B13F09" w:rsidP="008702A5">
            <w:pPr>
              <w:spacing w:after="0" w:line="240" w:lineRule="auto"/>
              <w:jc w:val="right"/>
              <w:rPr>
                <w:color w:val="000000"/>
                <w:sz w:val="24"/>
              </w:rPr>
            </w:pPr>
            <w:r w:rsidRPr="008876C7">
              <w:rPr>
                <w:color w:val="000000"/>
                <w:sz w:val="24"/>
              </w:rPr>
              <w:t>1.</w:t>
            </w:r>
            <w:r>
              <w:rPr>
                <w:color w:val="000000"/>
                <w:sz w:val="24"/>
              </w:rPr>
              <w:t>471</w:t>
            </w:r>
            <w:r w:rsidRPr="008876C7">
              <w:rPr>
                <w:color w:val="000000"/>
                <w:sz w:val="24"/>
              </w:rPr>
              <w:t>.</w:t>
            </w:r>
            <w:r>
              <w:rPr>
                <w:color w:val="000000"/>
                <w:sz w:val="24"/>
              </w:rPr>
              <w:t>617.</w:t>
            </w:r>
            <w:r w:rsidRPr="008876C7">
              <w:rPr>
                <w:color w:val="000000"/>
                <w:sz w:val="24"/>
              </w:rPr>
              <w:t>000</w:t>
            </w:r>
          </w:p>
        </w:tc>
        <w:tc>
          <w:tcPr>
            <w:tcW w:w="1596" w:type="dxa"/>
            <w:shd w:val="clear" w:color="auto" w:fill="auto"/>
            <w:vAlign w:val="center"/>
          </w:tcPr>
          <w:p w14:paraId="45D8FDF9" w14:textId="77777777" w:rsidR="00B13F09" w:rsidRPr="008876C7" w:rsidRDefault="00B13F09" w:rsidP="008702A5">
            <w:pPr>
              <w:spacing w:after="0" w:line="240" w:lineRule="auto"/>
              <w:jc w:val="right"/>
              <w:rPr>
                <w:color w:val="000000"/>
                <w:sz w:val="24"/>
              </w:rPr>
            </w:pPr>
            <w:r>
              <w:rPr>
                <w:color w:val="000000"/>
                <w:sz w:val="24"/>
              </w:rPr>
              <w:t>341</w:t>
            </w:r>
            <w:r w:rsidRPr="008876C7">
              <w:rPr>
                <w:color w:val="000000"/>
                <w:sz w:val="24"/>
              </w:rPr>
              <w:t>.650.000</w:t>
            </w:r>
          </w:p>
        </w:tc>
        <w:tc>
          <w:tcPr>
            <w:tcW w:w="1596" w:type="dxa"/>
            <w:shd w:val="clear" w:color="auto" w:fill="auto"/>
            <w:vAlign w:val="center"/>
          </w:tcPr>
          <w:p w14:paraId="309410D3" w14:textId="77777777" w:rsidR="00B13F09" w:rsidRPr="008876C7" w:rsidRDefault="00B13F09" w:rsidP="008702A5">
            <w:pPr>
              <w:spacing w:after="0" w:line="240" w:lineRule="auto"/>
              <w:jc w:val="right"/>
              <w:rPr>
                <w:color w:val="000000"/>
                <w:sz w:val="24"/>
              </w:rPr>
            </w:pPr>
            <w:r>
              <w:rPr>
                <w:color w:val="000000"/>
                <w:sz w:val="24"/>
              </w:rPr>
              <w:t>1.129.967</w:t>
            </w:r>
            <w:r w:rsidRPr="008876C7">
              <w:rPr>
                <w:color w:val="000000"/>
                <w:sz w:val="24"/>
              </w:rPr>
              <w:t>.000</w:t>
            </w:r>
          </w:p>
        </w:tc>
        <w:tc>
          <w:tcPr>
            <w:tcW w:w="1554" w:type="dxa"/>
          </w:tcPr>
          <w:p w14:paraId="2AE3A480" w14:textId="77777777" w:rsidR="00B13F09" w:rsidRDefault="00B13F09" w:rsidP="008702A5">
            <w:pPr>
              <w:spacing w:after="0" w:line="240" w:lineRule="auto"/>
              <w:jc w:val="right"/>
              <w:rPr>
                <w:color w:val="000000"/>
                <w:sz w:val="24"/>
              </w:rPr>
            </w:pPr>
          </w:p>
        </w:tc>
      </w:tr>
      <w:tr w:rsidR="00B13F09" w:rsidRPr="00394A78" w14:paraId="75F73BB1" w14:textId="7A2A9119" w:rsidTr="00B6160E">
        <w:tc>
          <w:tcPr>
            <w:tcW w:w="572" w:type="dxa"/>
            <w:shd w:val="clear" w:color="auto" w:fill="auto"/>
            <w:vAlign w:val="center"/>
          </w:tcPr>
          <w:p w14:paraId="76F72927" w14:textId="77777777" w:rsidR="00B13F09" w:rsidRPr="008876C7" w:rsidRDefault="00B13F09" w:rsidP="008702A5">
            <w:pPr>
              <w:spacing w:after="0" w:line="240" w:lineRule="auto"/>
              <w:jc w:val="center"/>
              <w:rPr>
                <w:b/>
                <w:bCs/>
                <w:color w:val="FF0000"/>
                <w:sz w:val="24"/>
              </w:rPr>
            </w:pPr>
            <w:r w:rsidRPr="00394A78">
              <w:rPr>
                <w:b/>
                <w:bCs/>
                <w:color w:val="000000" w:themeColor="text1"/>
                <w:sz w:val="24"/>
              </w:rPr>
              <w:t>5</w:t>
            </w:r>
          </w:p>
        </w:tc>
        <w:tc>
          <w:tcPr>
            <w:tcW w:w="1980" w:type="dxa"/>
            <w:shd w:val="clear" w:color="auto" w:fill="auto"/>
          </w:tcPr>
          <w:p w14:paraId="02F2A566" w14:textId="77777777" w:rsidR="00B13F09" w:rsidRPr="00394A78" w:rsidRDefault="00B13F09" w:rsidP="008702A5">
            <w:pPr>
              <w:spacing w:after="0" w:line="240" w:lineRule="auto"/>
              <w:jc w:val="both"/>
              <w:rPr>
                <w:b/>
                <w:bCs/>
                <w:color w:val="000000" w:themeColor="text1"/>
                <w:sz w:val="24"/>
              </w:rPr>
            </w:pPr>
            <w:r w:rsidRPr="00394A78">
              <w:rPr>
                <w:b/>
                <w:bCs/>
                <w:color w:val="000000" w:themeColor="text1"/>
                <w:sz w:val="24"/>
              </w:rPr>
              <w:t>Thăng hạng viên chức (04 cuộc, từ hạng IV lên hạng III do UBND cấp huyện tổ chức)</w:t>
            </w:r>
          </w:p>
        </w:tc>
        <w:tc>
          <w:tcPr>
            <w:tcW w:w="1596" w:type="dxa"/>
            <w:shd w:val="clear" w:color="auto" w:fill="auto"/>
            <w:vAlign w:val="center"/>
          </w:tcPr>
          <w:p w14:paraId="31BFE0A5" w14:textId="77777777" w:rsidR="00B13F09" w:rsidRPr="00394A78" w:rsidRDefault="00B13F09" w:rsidP="008702A5">
            <w:pPr>
              <w:spacing w:after="0" w:line="240" w:lineRule="auto"/>
              <w:jc w:val="right"/>
              <w:rPr>
                <w:b/>
                <w:bCs/>
                <w:color w:val="000000" w:themeColor="text1"/>
                <w:sz w:val="24"/>
              </w:rPr>
            </w:pPr>
            <w:r w:rsidRPr="00394A78">
              <w:rPr>
                <w:b/>
                <w:bCs/>
                <w:color w:val="000000" w:themeColor="text1"/>
                <w:sz w:val="24"/>
              </w:rPr>
              <w:t>92.600.000</w:t>
            </w:r>
          </w:p>
        </w:tc>
        <w:tc>
          <w:tcPr>
            <w:tcW w:w="1596" w:type="dxa"/>
            <w:shd w:val="clear" w:color="auto" w:fill="auto"/>
            <w:vAlign w:val="center"/>
          </w:tcPr>
          <w:p w14:paraId="2919E254" w14:textId="77777777" w:rsidR="00B13F09" w:rsidRPr="00394A78" w:rsidRDefault="00B13F09" w:rsidP="008702A5">
            <w:pPr>
              <w:spacing w:after="0" w:line="240" w:lineRule="auto"/>
              <w:jc w:val="right"/>
              <w:rPr>
                <w:b/>
                <w:bCs/>
                <w:color w:val="000000" w:themeColor="text1"/>
                <w:sz w:val="24"/>
              </w:rPr>
            </w:pPr>
            <w:r w:rsidRPr="00394A78">
              <w:rPr>
                <w:b/>
                <w:bCs/>
                <w:color w:val="000000" w:themeColor="text1"/>
                <w:sz w:val="24"/>
              </w:rPr>
              <w:t>154.006.000</w:t>
            </w:r>
          </w:p>
        </w:tc>
        <w:tc>
          <w:tcPr>
            <w:tcW w:w="1596" w:type="dxa"/>
            <w:shd w:val="clear" w:color="auto" w:fill="auto"/>
            <w:vAlign w:val="center"/>
          </w:tcPr>
          <w:p w14:paraId="610C6676" w14:textId="77777777" w:rsidR="00B13F09" w:rsidRPr="00394A78" w:rsidRDefault="00B13F09" w:rsidP="008702A5">
            <w:pPr>
              <w:spacing w:after="0" w:line="240" w:lineRule="auto"/>
              <w:jc w:val="right"/>
              <w:rPr>
                <w:b/>
                <w:bCs/>
                <w:color w:val="000000" w:themeColor="text1"/>
                <w:sz w:val="24"/>
              </w:rPr>
            </w:pPr>
            <w:r w:rsidRPr="00394A78">
              <w:rPr>
                <w:b/>
                <w:bCs/>
                <w:color w:val="000000" w:themeColor="text1"/>
                <w:sz w:val="24"/>
              </w:rPr>
              <w:t>92.600.000</w:t>
            </w:r>
          </w:p>
        </w:tc>
        <w:tc>
          <w:tcPr>
            <w:tcW w:w="1596" w:type="dxa"/>
            <w:shd w:val="clear" w:color="auto" w:fill="auto"/>
            <w:vAlign w:val="center"/>
          </w:tcPr>
          <w:p w14:paraId="33C3B4AE" w14:textId="77777777" w:rsidR="00B13F09" w:rsidRPr="00394A78" w:rsidRDefault="00B13F09" w:rsidP="008702A5">
            <w:pPr>
              <w:spacing w:after="0" w:line="240" w:lineRule="auto"/>
              <w:jc w:val="right"/>
              <w:rPr>
                <w:b/>
                <w:bCs/>
                <w:color w:val="000000" w:themeColor="text1"/>
                <w:sz w:val="24"/>
              </w:rPr>
            </w:pPr>
            <w:r w:rsidRPr="00394A78">
              <w:rPr>
                <w:b/>
                <w:bCs/>
                <w:color w:val="000000" w:themeColor="text1"/>
                <w:sz w:val="24"/>
              </w:rPr>
              <w:t>61.406.000</w:t>
            </w:r>
          </w:p>
        </w:tc>
        <w:tc>
          <w:tcPr>
            <w:tcW w:w="1554" w:type="dxa"/>
          </w:tcPr>
          <w:p w14:paraId="4E0D5AAD" w14:textId="77777777" w:rsidR="00B13F09" w:rsidRPr="00394A78" w:rsidRDefault="00B13F09" w:rsidP="008702A5">
            <w:pPr>
              <w:spacing w:after="0" w:line="240" w:lineRule="auto"/>
              <w:jc w:val="right"/>
              <w:rPr>
                <w:b/>
                <w:bCs/>
                <w:color w:val="000000" w:themeColor="text1"/>
                <w:sz w:val="24"/>
              </w:rPr>
            </w:pPr>
          </w:p>
        </w:tc>
      </w:tr>
      <w:tr w:rsidR="00B13F09" w:rsidRPr="00394A78" w14:paraId="4BE6A494" w14:textId="715C7C95" w:rsidTr="00B6160E">
        <w:tc>
          <w:tcPr>
            <w:tcW w:w="572" w:type="dxa"/>
            <w:shd w:val="clear" w:color="auto" w:fill="auto"/>
            <w:vAlign w:val="center"/>
          </w:tcPr>
          <w:p w14:paraId="28B9F641" w14:textId="77777777" w:rsidR="00B13F09" w:rsidRPr="008876C7" w:rsidRDefault="00B13F09" w:rsidP="008702A5">
            <w:pPr>
              <w:spacing w:after="0" w:line="240" w:lineRule="auto"/>
              <w:jc w:val="center"/>
              <w:rPr>
                <w:b/>
                <w:bCs/>
                <w:color w:val="FF0000"/>
                <w:sz w:val="24"/>
              </w:rPr>
            </w:pPr>
          </w:p>
        </w:tc>
        <w:tc>
          <w:tcPr>
            <w:tcW w:w="1980" w:type="dxa"/>
            <w:shd w:val="clear" w:color="auto" w:fill="auto"/>
          </w:tcPr>
          <w:p w14:paraId="0128E652" w14:textId="77777777" w:rsidR="00B13F09" w:rsidRPr="00394A78" w:rsidRDefault="00B13F09" w:rsidP="008702A5">
            <w:pPr>
              <w:spacing w:after="0" w:line="240" w:lineRule="auto"/>
              <w:jc w:val="both"/>
              <w:rPr>
                <w:color w:val="000000" w:themeColor="text1"/>
                <w:sz w:val="24"/>
              </w:rPr>
            </w:pPr>
            <w:r w:rsidRPr="00394A78">
              <w:rPr>
                <w:color w:val="000000" w:themeColor="text1"/>
                <w:sz w:val="24"/>
              </w:rPr>
              <w:t>- Năm 2019 (01 cuộc)</w:t>
            </w:r>
          </w:p>
        </w:tc>
        <w:tc>
          <w:tcPr>
            <w:tcW w:w="1596" w:type="dxa"/>
            <w:shd w:val="clear" w:color="auto" w:fill="auto"/>
            <w:vAlign w:val="center"/>
          </w:tcPr>
          <w:p w14:paraId="19188EF0"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45.000.000</w:t>
            </w:r>
          </w:p>
        </w:tc>
        <w:tc>
          <w:tcPr>
            <w:tcW w:w="1596" w:type="dxa"/>
            <w:shd w:val="clear" w:color="auto" w:fill="auto"/>
            <w:vAlign w:val="center"/>
          </w:tcPr>
          <w:p w14:paraId="5E305B0A"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46.189.000</w:t>
            </w:r>
          </w:p>
        </w:tc>
        <w:tc>
          <w:tcPr>
            <w:tcW w:w="1596" w:type="dxa"/>
            <w:shd w:val="clear" w:color="auto" w:fill="auto"/>
            <w:vAlign w:val="center"/>
          </w:tcPr>
          <w:p w14:paraId="0021696A"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45.000.000</w:t>
            </w:r>
          </w:p>
        </w:tc>
        <w:tc>
          <w:tcPr>
            <w:tcW w:w="1596" w:type="dxa"/>
            <w:shd w:val="clear" w:color="auto" w:fill="auto"/>
            <w:vAlign w:val="center"/>
          </w:tcPr>
          <w:p w14:paraId="1CD5A9FA"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1.189.000</w:t>
            </w:r>
          </w:p>
        </w:tc>
        <w:tc>
          <w:tcPr>
            <w:tcW w:w="1554" w:type="dxa"/>
          </w:tcPr>
          <w:p w14:paraId="042442E3" w14:textId="77777777" w:rsidR="00B13F09" w:rsidRPr="00394A78" w:rsidRDefault="00B13F09" w:rsidP="008702A5">
            <w:pPr>
              <w:spacing w:after="0" w:line="240" w:lineRule="auto"/>
              <w:jc w:val="right"/>
              <w:rPr>
                <w:color w:val="000000" w:themeColor="text1"/>
                <w:sz w:val="24"/>
              </w:rPr>
            </w:pPr>
          </w:p>
        </w:tc>
      </w:tr>
      <w:tr w:rsidR="00B13F09" w:rsidRPr="00394A78" w14:paraId="0F4CC080" w14:textId="7E26C186" w:rsidTr="00B6160E">
        <w:tc>
          <w:tcPr>
            <w:tcW w:w="572" w:type="dxa"/>
            <w:shd w:val="clear" w:color="auto" w:fill="auto"/>
            <w:vAlign w:val="center"/>
          </w:tcPr>
          <w:p w14:paraId="6A4491F0" w14:textId="77777777" w:rsidR="00B13F09" w:rsidRPr="008876C7" w:rsidRDefault="00B13F09" w:rsidP="008702A5">
            <w:pPr>
              <w:spacing w:after="0" w:line="240" w:lineRule="auto"/>
              <w:jc w:val="center"/>
              <w:rPr>
                <w:b/>
                <w:bCs/>
                <w:color w:val="FF0000"/>
                <w:sz w:val="24"/>
              </w:rPr>
            </w:pPr>
          </w:p>
        </w:tc>
        <w:tc>
          <w:tcPr>
            <w:tcW w:w="1980" w:type="dxa"/>
            <w:shd w:val="clear" w:color="auto" w:fill="auto"/>
          </w:tcPr>
          <w:p w14:paraId="639F8BA9" w14:textId="77777777" w:rsidR="00B13F09" w:rsidRPr="00394A78" w:rsidRDefault="00B13F09" w:rsidP="008702A5">
            <w:pPr>
              <w:spacing w:after="0" w:line="240" w:lineRule="auto"/>
              <w:jc w:val="both"/>
              <w:rPr>
                <w:color w:val="000000" w:themeColor="text1"/>
                <w:sz w:val="24"/>
              </w:rPr>
            </w:pPr>
            <w:r w:rsidRPr="00394A78">
              <w:rPr>
                <w:color w:val="000000" w:themeColor="text1"/>
                <w:sz w:val="24"/>
              </w:rPr>
              <w:t>- Năm 2021 (03 cuộc)</w:t>
            </w:r>
          </w:p>
        </w:tc>
        <w:tc>
          <w:tcPr>
            <w:tcW w:w="1596" w:type="dxa"/>
            <w:shd w:val="clear" w:color="auto" w:fill="auto"/>
            <w:vAlign w:val="center"/>
          </w:tcPr>
          <w:p w14:paraId="7ABDCCAD"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47.600.000</w:t>
            </w:r>
          </w:p>
        </w:tc>
        <w:tc>
          <w:tcPr>
            <w:tcW w:w="1596" w:type="dxa"/>
            <w:shd w:val="clear" w:color="auto" w:fill="auto"/>
            <w:vAlign w:val="center"/>
          </w:tcPr>
          <w:p w14:paraId="5E61F378"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107.817.000</w:t>
            </w:r>
          </w:p>
        </w:tc>
        <w:tc>
          <w:tcPr>
            <w:tcW w:w="1596" w:type="dxa"/>
            <w:shd w:val="clear" w:color="auto" w:fill="auto"/>
            <w:vAlign w:val="center"/>
          </w:tcPr>
          <w:p w14:paraId="6EC62EB6"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47.600.000</w:t>
            </w:r>
          </w:p>
        </w:tc>
        <w:tc>
          <w:tcPr>
            <w:tcW w:w="1596" w:type="dxa"/>
            <w:shd w:val="clear" w:color="auto" w:fill="auto"/>
            <w:vAlign w:val="center"/>
          </w:tcPr>
          <w:p w14:paraId="43FB0071" w14:textId="77777777" w:rsidR="00B13F09" w:rsidRPr="00394A78" w:rsidRDefault="00B13F09" w:rsidP="008702A5">
            <w:pPr>
              <w:spacing w:after="0" w:line="240" w:lineRule="auto"/>
              <w:jc w:val="right"/>
              <w:rPr>
                <w:color w:val="000000" w:themeColor="text1"/>
                <w:sz w:val="24"/>
              </w:rPr>
            </w:pPr>
            <w:r w:rsidRPr="00394A78">
              <w:rPr>
                <w:color w:val="000000" w:themeColor="text1"/>
                <w:sz w:val="24"/>
              </w:rPr>
              <w:t>60.217.000</w:t>
            </w:r>
          </w:p>
        </w:tc>
        <w:tc>
          <w:tcPr>
            <w:tcW w:w="1554" w:type="dxa"/>
          </w:tcPr>
          <w:p w14:paraId="2FDB2153" w14:textId="77777777" w:rsidR="00B13F09" w:rsidRPr="00394A78" w:rsidRDefault="00B13F09" w:rsidP="008702A5">
            <w:pPr>
              <w:spacing w:after="0" w:line="240" w:lineRule="auto"/>
              <w:jc w:val="right"/>
              <w:rPr>
                <w:color w:val="000000" w:themeColor="text1"/>
                <w:sz w:val="24"/>
              </w:rPr>
            </w:pPr>
          </w:p>
        </w:tc>
      </w:tr>
    </w:tbl>
    <w:p w14:paraId="6B407BDF" w14:textId="6B7B385F" w:rsidR="00CA1671" w:rsidRDefault="00CA1671" w:rsidP="00D71E6E">
      <w:pPr>
        <w:spacing w:before="120" w:after="120" w:line="320" w:lineRule="exact"/>
        <w:ind w:firstLine="720"/>
        <w:jc w:val="both"/>
        <w:rPr>
          <w:iCs/>
          <w:szCs w:val="28"/>
        </w:rPr>
      </w:pPr>
      <w:r w:rsidRPr="00EF4C58">
        <w:rPr>
          <w:bCs/>
          <w:szCs w:val="28"/>
        </w:rPr>
        <w:t xml:space="preserve">Qua </w:t>
      </w:r>
      <w:r w:rsidR="00B7231E" w:rsidRPr="00EF4C58">
        <w:rPr>
          <w:bCs/>
          <w:szCs w:val="28"/>
        </w:rPr>
        <w:t xml:space="preserve">tổng hợp </w:t>
      </w:r>
      <w:r w:rsidR="00336E65">
        <w:rPr>
          <w:bCs/>
          <w:szCs w:val="28"/>
        </w:rPr>
        <w:t xml:space="preserve">kinh phí chi tổ chức tuyển dụng, </w:t>
      </w:r>
      <w:r w:rsidR="002A3D00">
        <w:rPr>
          <w:bCs/>
          <w:szCs w:val="28"/>
        </w:rPr>
        <w:t xml:space="preserve">thi </w:t>
      </w:r>
      <w:r w:rsidR="00336E65">
        <w:rPr>
          <w:bCs/>
          <w:szCs w:val="28"/>
        </w:rPr>
        <w:t xml:space="preserve">nâng ngạch, thăng hạng của các cơ quan, đơn </w:t>
      </w:r>
      <w:r w:rsidR="00F83E15">
        <w:rPr>
          <w:bCs/>
          <w:szCs w:val="28"/>
        </w:rPr>
        <w:t xml:space="preserve">vị, địa phương có mức chi khác nhau; </w:t>
      </w:r>
      <w:r w:rsidR="00E60D6E">
        <w:rPr>
          <w:bCs/>
          <w:szCs w:val="28"/>
        </w:rPr>
        <w:t xml:space="preserve">vận dụng </w:t>
      </w:r>
      <w:r w:rsidR="00F83E15">
        <w:rPr>
          <w:bCs/>
          <w:szCs w:val="28"/>
        </w:rPr>
        <w:t xml:space="preserve">nội dung chi, mức chi </w:t>
      </w:r>
      <w:r w:rsidR="00E60D6E">
        <w:rPr>
          <w:bCs/>
          <w:szCs w:val="28"/>
        </w:rPr>
        <w:t>chưa thống nhất</w:t>
      </w:r>
      <w:r w:rsidR="00CF5CBD">
        <w:rPr>
          <w:bCs/>
          <w:szCs w:val="28"/>
        </w:rPr>
        <w:t xml:space="preserve"> (vận dụng theo </w:t>
      </w:r>
      <w:r w:rsidR="006373C2" w:rsidRPr="009466C6">
        <w:rPr>
          <w:szCs w:val="28"/>
        </w:rPr>
        <w:t xml:space="preserve">Quyết định </w:t>
      </w:r>
      <w:r w:rsidR="00792372">
        <w:rPr>
          <w:szCs w:val="28"/>
        </w:rPr>
        <w:t xml:space="preserve">số </w:t>
      </w:r>
      <w:r w:rsidR="006373C2" w:rsidRPr="00CF62B8">
        <w:rPr>
          <w:szCs w:val="28"/>
        </w:rPr>
        <w:t>23</w:t>
      </w:r>
      <w:r w:rsidR="006347A2" w:rsidRPr="00CF62B8">
        <w:rPr>
          <w:szCs w:val="28"/>
        </w:rPr>
        <w:t>3</w:t>
      </w:r>
      <w:r w:rsidR="006373C2" w:rsidRPr="00CF62B8">
        <w:rPr>
          <w:szCs w:val="28"/>
        </w:rPr>
        <w:t>8/</w:t>
      </w:r>
      <w:r w:rsidR="006373C2" w:rsidRPr="009466C6">
        <w:rPr>
          <w:szCs w:val="28"/>
        </w:rPr>
        <w:t>2012/QĐ-UBND</w:t>
      </w:r>
      <w:r w:rsidR="001F73B2">
        <w:rPr>
          <w:szCs w:val="28"/>
        </w:rPr>
        <w:t xml:space="preserve"> </w:t>
      </w:r>
      <w:r w:rsidR="001F73B2" w:rsidRPr="00A256EF">
        <w:rPr>
          <w:color w:val="000000" w:themeColor="text1"/>
          <w:szCs w:val="28"/>
        </w:rPr>
        <w:t>ngày 31/12/2012 của Ủy ban nhân dân tỉnh</w:t>
      </w:r>
      <w:r w:rsidR="006373C2">
        <w:rPr>
          <w:szCs w:val="28"/>
        </w:rPr>
        <w:t>)</w:t>
      </w:r>
      <w:r w:rsidR="00E60D6E">
        <w:rPr>
          <w:bCs/>
          <w:szCs w:val="28"/>
        </w:rPr>
        <w:t xml:space="preserve">; </w:t>
      </w:r>
      <w:r w:rsidR="00877755">
        <w:rPr>
          <w:bCs/>
          <w:szCs w:val="28"/>
        </w:rPr>
        <w:t xml:space="preserve">các cơ quan, đơn vị </w:t>
      </w:r>
      <w:r w:rsidR="00E60D6E">
        <w:rPr>
          <w:bCs/>
          <w:szCs w:val="28"/>
        </w:rPr>
        <w:t>chủ yếu chi từ nguồn ngân sách nhà nước để tổ chức các quy trình</w:t>
      </w:r>
      <w:r w:rsidR="00EE37D1">
        <w:rPr>
          <w:bCs/>
          <w:szCs w:val="28"/>
        </w:rPr>
        <w:t xml:space="preserve"> (do </w:t>
      </w:r>
      <w:r w:rsidR="00EE37D1" w:rsidRPr="00A256EF">
        <w:rPr>
          <w:color w:val="000000" w:themeColor="text1"/>
          <w:szCs w:val="28"/>
        </w:rPr>
        <w:t>lệ phí thu của thí sinh không đủ để chi cho các hoạt động của Hội đồng</w:t>
      </w:r>
      <w:r w:rsidR="00EE37D1">
        <w:rPr>
          <w:color w:val="000000" w:themeColor="text1"/>
          <w:szCs w:val="28"/>
        </w:rPr>
        <w:t>),</w:t>
      </w:r>
      <w:r w:rsidR="00CA307D">
        <w:rPr>
          <w:bCs/>
          <w:szCs w:val="28"/>
        </w:rPr>
        <w:t>…</w:t>
      </w:r>
      <w:r w:rsidR="007736AC">
        <w:rPr>
          <w:bCs/>
          <w:szCs w:val="28"/>
        </w:rPr>
        <w:t xml:space="preserve">; </w:t>
      </w:r>
      <w:r w:rsidR="00A05EF5">
        <w:rPr>
          <w:bCs/>
          <w:szCs w:val="28"/>
        </w:rPr>
        <w:t>số kinh phí chi cho các kỳ tuyển dụng</w:t>
      </w:r>
      <w:r w:rsidR="009A6A9F">
        <w:rPr>
          <w:bCs/>
          <w:szCs w:val="28"/>
        </w:rPr>
        <w:t xml:space="preserve"> của các Hội đồng, có Hội đồng chi số kinh phí thấp, có Hội đồng chi số kinh phí cao là phụ thuộc vào số lượng thí sinh tham dự kỳ thi (</w:t>
      </w:r>
      <w:r w:rsidR="00CE6804">
        <w:rPr>
          <w:bCs/>
          <w:szCs w:val="28"/>
        </w:rPr>
        <w:t xml:space="preserve">số lượng vị trí việc làm, số lượng đề, số phòng thi, số lượng người tham gia phục vụ kỳ thi, số bài thi phải chấm,…). </w:t>
      </w:r>
      <w:r w:rsidR="00CA307D">
        <w:rPr>
          <w:bCs/>
          <w:szCs w:val="28"/>
        </w:rPr>
        <w:t xml:space="preserve">Những tồn tại nêu trên, do địa phương chưa có quy định cụ thể về </w:t>
      </w:r>
      <w:r w:rsidR="00212003" w:rsidRPr="00212003">
        <w:rPr>
          <w:iCs/>
          <w:szCs w:val="28"/>
        </w:rPr>
        <w:t>nội dung chi, mức chi tổ chức tuyển dụng công chức, viên chức, nâng ngạch công chức và thăng hạng viên chức trên địa bàn tỉnh</w:t>
      </w:r>
      <w:r w:rsidR="00774C9B">
        <w:rPr>
          <w:iCs/>
          <w:szCs w:val="28"/>
        </w:rPr>
        <w:t>.</w:t>
      </w:r>
    </w:p>
    <w:p w14:paraId="516808FF" w14:textId="0FA170C0" w:rsidR="00252469" w:rsidRPr="00043DB3" w:rsidRDefault="00252469" w:rsidP="00043DB3">
      <w:pPr>
        <w:spacing w:before="120" w:after="120" w:line="340" w:lineRule="exact"/>
        <w:ind w:firstLine="720"/>
        <w:jc w:val="both"/>
        <w:rPr>
          <w:rFonts w:ascii="Times New Roman Bold" w:hAnsi="Times New Roman Bold"/>
          <w:b/>
          <w:szCs w:val="28"/>
        </w:rPr>
      </w:pPr>
      <w:r w:rsidRPr="00043DB3">
        <w:rPr>
          <w:rFonts w:ascii="Times New Roman Bold" w:hAnsi="Times New Roman Bold"/>
          <w:b/>
          <w:szCs w:val="28"/>
        </w:rPr>
        <w:lastRenderedPageBreak/>
        <w:t>2. Thuyết minh về thẩm quyền ban hành Nghị quyết</w:t>
      </w:r>
    </w:p>
    <w:p w14:paraId="0C6E033C" w14:textId="6C2EECE7" w:rsidR="006C1DD5" w:rsidRPr="00043DB3" w:rsidRDefault="00FD1C85" w:rsidP="00043DB3">
      <w:pPr>
        <w:spacing w:before="120" w:after="120" w:line="340" w:lineRule="exact"/>
        <w:ind w:firstLine="720"/>
        <w:jc w:val="both"/>
        <w:rPr>
          <w:rFonts w:eastAsia="Times New Roman" w:cstheme="minorBidi"/>
          <w:color w:val="000000" w:themeColor="text1"/>
          <w:szCs w:val="28"/>
        </w:rPr>
      </w:pPr>
      <w:r w:rsidRPr="00043DB3">
        <w:rPr>
          <w:rFonts w:eastAsia="Times New Roman" w:cstheme="minorBidi"/>
          <w:color w:val="000000" w:themeColor="text1"/>
          <w:szCs w:val="28"/>
        </w:rPr>
        <w:t>Cơ sở xác định t</w:t>
      </w:r>
      <w:r w:rsidR="006C1DD5" w:rsidRPr="00043DB3">
        <w:rPr>
          <w:rFonts w:eastAsia="Times New Roman" w:cstheme="minorBidi"/>
          <w:color w:val="000000" w:themeColor="text1"/>
          <w:szCs w:val="28"/>
        </w:rPr>
        <w:t xml:space="preserve">hẩm quyền ban hành </w:t>
      </w:r>
      <w:r w:rsidRPr="00043DB3">
        <w:rPr>
          <w:rFonts w:eastAsia="Times New Roman" w:cstheme="minorBidi"/>
          <w:color w:val="000000" w:themeColor="text1"/>
          <w:szCs w:val="28"/>
        </w:rPr>
        <w:t xml:space="preserve">Nghị quyết </w:t>
      </w:r>
      <w:r w:rsidR="003F1E2A">
        <w:rPr>
          <w:rFonts w:eastAsia="Times New Roman" w:cstheme="minorBidi"/>
          <w:color w:val="000000" w:themeColor="text1"/>
          <w:szCs w:val="28"/>
        </w:rPr>
        <w:t>Q</w:t>
      </w:r>
      <w:r w:rsidR="006C1DD5" w:rsidRPr="00043DB3">
        <w:rPr>
          <w:rFonts w:eastAsia="Times New Roman" w:cstheme="minorBidi"/>
          <w:color w:val="000000" w:themeColor="text1"/>
          <w:szCs w:val="28"/>
        </w:rPr>
        <w:t>uy định nội dung, mức chi</w:t>
      </w:r>
      <w:r w:rsidR="006C1DD5" w:rsidRPr="00043DB3">
        <w:rPr>
          <w:i/>
          <w:color w:val="000000" w:themeColor="text1"/>
          <w:szCs w:val="28"/>
        </w:rPr>
        <w:t xml:space="preserve"> </w:t>
      </w:r>
      <w:r w:rsidR="006C1DD5" w:rsidRPr="00043DB3">
        <w:rPr>
          <w:iCs/>
          <w:color w:val="000000" w:themeColor="text1"/>
          <w:szCs w:val="28"/>
        </w:rPr>
        <w:t>tổ chức tuyển dụng công chức, viên chức, nâng ngạch công chức và thăng hạng viên chức trên địa bàn tỉnh Bắc Kạn</w:t>
      </w:r>
      <w:r w:rsidRPr="00043DB3">
        <w:rPr>
          <w:rFonts w:eastAsia="Times New Roman" w:cstheme="minorBidi"/>
          <w:color w:val="000000" w:themeColor="text1"/>
          <w:szCs w:val="28"/>
        </w:rPr>
        <w:t>:</w:t>
      </w:r>
    </w:p>
    <w:p w14:paraId="3E2CF883" w14:textId="5F43589F" w:rsidR="00252469" w:rsidRPr="00043DB3" w:rsidRDefault="00252469" w:rsidP="00043DB3">
      <w:pPr>
        <w:spacing w:before="120" w:after="120" w:line="340" w:lineRule="exact"/>
        <w:ind w:firstLine="720"/>
        <w:jc w:val="both"/>
        <w:rPr>
          <w:i/>
          <w:iCs/>
          <w:color w:val="000000" w:themeColor="text1"/>
          <w:szCs w:val="28"/>
        </w:rPr>
      </w:pPr>
      <w:r w:rsidRPr="00043DB3">
        <w:rPr>
          <w:rFonts w:eastAsia="Times New Roman" w:cstheme="minorBidi"/>
          <w:color w:val="000000" w:themeColor="text1"/>
          <w:szCs w:val="28"/>
        </w:rPr>
        <w:t xml:space="preserve">Tại khoản 3 Điều 21 Nghị định </w:t>
      </w:r>
      <w:r w:rsidR="003F1E2A">
        <w:rPr>
          <w:rFonts w:eastAsia="Times New Roman" w:cstheme="minorBidi"/>
          <w:color w:val="000000" w:themeColor="text1"/>
          <w:szCs w:val="28"/>
        </w:rPr>
        <w:t xml:space="preserve">số </w:t>
      </w:r>
      <w:r w:rsidRPr="00043DB3">
        <w:rPr>
          <w:rFonts w:eastAsia="Times New Roman" w:cstheme="minorBidi"/>
          <w:color w:val="000000" w:themeColor="text1"/>
          <w:szCs w:val="28"/>
        </w:rPr>
        <w:t>163/2016/NĐ-CP quy định</w:t>
      </w:r>
      <w:r w:rsidR="00FD1C85" w:rsidRPr="00043DB3">
        <w:rPr>
          <w:rFonts w:eastAsia="Times New Roman" w:cstheme="minorBidi"/>
          <w:color w:val="000000" w:themeColor="text1"/>
          <w:szCs w:val="28"/>
        </w:rPr>
        <w:t xml:space="preserve"> về thẩm quyền của Hội đồng nhân dân cấp tỉnh</w:t>
      </w:r>
      <w:r w:rsidRPr="00043DB3">
        <w:rPr>
          <w:rFonts w:eastAsia="Times New Roman" w:cstheme="minorBidi"/>
          <w:color w:val="000000" w:themeColor="text1"/>
          <w:szCs w:val="28"/>
        </w:rPr>
        <w:t xml:space="preserve">: </w:t>
      </w:r>
      <w:r w:rsidRPr="00043DB3">
        <w:rPr>
          <w:rFonts w:eastAsia="Times New Roman" w:cstheme="minorBidi"/>
          <w:b/>
          <w:bCs/>
          <w:i/>
          <w:iCs/>
          <w:color w:val="000000" w:themeColor="text1"/>
          <w:szCs w:val="28"/>
        </w:rPr>
        <w:t>“…</w:t>
      </w:r>
      <w:r w:rsidRPr="00043DB3">
        <w:rPr>
          <w:rFonts w:ascii="Arial" w:eastAsiaTheme="minorHAnsi" w:hAnsi="Arial" w:cs="Arial"/>
          <w:b/>
          <w:bCs/>
          <w:i/>
          <w:iCs/>
          <w:color w:val="000000" w:themeColor="text1"/>
          <w:sz w:val="18"/>
          <w:szCs w:val="18"/>
          <w:shd w:val="clear" w:color="auto" w:fill="FFFFFF"/>
          <w:lang w:val="vi-VN"/>
        </w:rPr>
        <w:t xml:space="preserve"> </w:t>
      </w:r>
      <w:r w:rsidRPr="00043DB3">
        <w:rPr>
          <w:rFonts w:eastAsiaTheme="minorHAnsi"/>
          <w:b/>
          <w:bCs/>
          <w:i/>
          <w:iCs/>
          <w:color w:val="000000" w:themeColor="text1"/>
          <w:szCs w:val="28"/>
          <w:shd w:val="clear" w:color="auto" w:fill="FFFFFF"/>
          <w:lang w:val="vi-VN"/>
        </w:rPr>
        <w:t xml:space="preserve">Quyết định các chế độ chi ngân sách đối với một số nhiệm vụ chi có tính chất đặc thù ở địa phương </w:t>
      </w:r>
      <w:r w:rsidRPr="00043DB3">
        <w:rPr>
          <w:rFonts w:eastAsiaTheme="minorHAnsi"/>
          <w:i/>
          <w:iCs/>
          <w:color w:val="000000" w:themeColor="text1"/>
          <w:szCs w:val="28"/>
          <w:shd w:val="clear" w:color="auto" w:fill="FFFFFF"/>
          <w:lang w:val="vi-VN"/>
        </w:rPr>
        <w:t>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w:t>
      </w:r>
      <w:r w:rsidRPr="00043DB3">
        <w:rPr>
          <w:rFonts w:eastAsiaTheme="minorHAnsi"/>
          <w:i/>
          <w:iCs/>
          <w:color w:val="000000" w:themeColor="text1"/>
          <w:szCs w:val="28"/>
          <w:shd w:val="clear" w:color="auto" w:fill="FFFFFF"/>
        </w:rPr>
        <w:t>ế </w:t>
      </w:r>
      <w:r w:rsidRPr="00043DB3">
        <w:rPr>
          <w:rFonts w:eastAsiaTheme="minorHAnsi"/>
          <w:i/>
          <w:iCs/>
          <w:color w:val="000000" w:themeColor="text1"/>
          <w:szCs w:val="28"/>
          <w:shd w:val="clear" w:color="auto" w:fill="FFFFFF"/>
          <w:lang w:val="vi-VN"/>
        </w:rPr>
        <w:t>độ chi có tính chất ti</w:t>
      </w:r>
      <w:r w:rsidRPr="00043DB3">
        <w:rPr>
          <w:rFonts w:eastAsiaTheme="minorHAnsi"/>
          <w:i/>
          <w:iCs/>
          <w:color w:val="000000" w:themeColor="text1"/>
          <w:szCs w:val="28"/>
          <w:shd w:val="clear" w:color="auto" w:fill="FFFFFF"/>
        </w:rPr>
        <w:t>ề</w:t>
      </w:r>
      <w:r w:rsidRPr="00043DB3">
        <w:rPr>
          <w:rFonts w:eastAsiaTheme="minorHAnsi"/>
          <w:i/>
          <w:iCs/>
          <w:color w:val="000000" w:themeColor="text1"/>
          <w:szCs w:val="28"/>
          <w:shd w:val="clear" w:color="auto" w:fill="FFFFFF"/>
          <w:lang w:val="vi-VN"/>
        </w:rPr>
        <w:t>n lương, tiền công, phụ cấp, trước khi quyết định phải có ý kiến của Bộ Tài chính, Bộ Nội vụ, Bộ Lao động - Thương binh và Xã hội và các bộ quản lý ngành, lĩnh vực trực tiếp</w:t>
      </w:r>
      <w:r w:rsidRPr="00043DB3">
        <w:rPr>
          <w:rFonts w:eastAsiaTheme="minorHAnsi"/>
          <w:i/>
          <w:iCs/>
          <w:color w:val="000000" w:themeColor="text1"/>
          <w:szCs w:val="28"/>
          <w:shd w:val="clear" w:color="auto" w:fill="FFFFFF"/>
        </w:rPr>
        <w:t>”.</w:t>
      </w:r>
    </w:p>
    <w:p w14:paraId="2D4A843E" w14:textId="63824517" w:rsidR="00E35D2E" w:rsidRPr="00043DB3" w:rsidRDefault="00EF54FB" w:rsidP="00043DB3">
      <w:pPr>
        <w:spacing w:before="120" w:after="120" w:line="340" w:lineRule="exact"/>
        <w:ind w:firstLine="720"/>
        <w:jc w:val="both"/>
        <w:rPr>
          <w:rFonts w:eastAsia="Times New Roman" w:cstheme="minorBidi"/>
          <w:color w:val="000000" w:themeColor="text1"/>
          <w:szCs w:val="28"/>
        </w:rPr>
      </w:pPr>
      <w:r w:rsidRPr="00043DB3">
        <w:rPr>
          <w:rFonts w:eastAsia="Times New Roman" w:cstheme="minorBidi"/>
          <w:color w:val="000000" w:themeColor="text1"/>
          <w:szCs w:val="28"/>
        </w:rPr>
        <w:t>Theo quy định nêu trên,</w:t>
      </w:r>
      <w:r w:rsidR="00503559" w:rsidRPr="00043DB3">
        <w:rPr>
          <w:rFonts w:eastAsia="Times New Roman" w:cstheme="minorBidi"/>
          <w:color w:val="000000" w:themeColor="text1"/>
          <w:szCs w:val="28"/>
        </w:rPr>
        <w:t xml:space="preserve"> dự thảo Nghị quyết</w:t>
      </w:r>
      <w:r w:rsidR="00E35D2E" w:rsidRPr="00043DB3">
        <w:rPr>
          <w:rFonts w:eastAsia="Times New Roman" w:cstheme="minorBidi"/>
          <w:color w:val="000000" w:themeColor="text1"/>
          <w:szCs w:val="28"/>
        </w:rPr>
        <w:t xml:space="preserve"> </w:t>
      </w:r>
      <w:r w:rsidR="003F1E2A">
        <w:rPr>
          <w:rFonts w:eastAsia="Times New Roman" w:cstheme="minorBidi"/>
          <w:color w:val="000000" w:themeColor="text1"/>
          <w:szCs w:val="28"/>
        </w:rPr>
        <w:t>Q</w:t>
      </w:r>
      <w:r w:rsidR="00E35D2E" w:rsidRPr="00043DB3">
        <w:rPr>
          <w:rFonts w:eastAsia="Times New Roman" w:cstheme="minorBidi"/>
          <w:color w:val="000000" w:themeColor="text1"/>
          <w:szCs w:val="28"/>
        </w:rPr>
        <w:t>uy định nội dung</w:t>
      </w:r>
      <w:r w:rsidR="001D0B8F" w:rsidRPr="00043DB3">
        <w:rPr>
          <w:rFonts w:eastAsia="Times New Roman" w:cstheme="minorBidi"/>
          <w:color w:val="000000" w:themeColor="text1"/>
          <w:szCs w:val="28"/>
        </w:rPr>
        <w:t xml:space="preserve"> chi</w:t>
      </w:r>
      <w:r w:rsidR="00E35D2E" w:rsidRPr="00043DB3">
        <w:rPr>
          <w:rFonts w:eastAsia="Times New Roman" w:cstheme="minorBidi"/>
          <w:color w:val="000000" w:themeColor="text1"/>
          <w:szCs w:val="28"/>
        </w:rPr>
        <w:t>, mức chi</w:t>
      </w:r>
      <w:r w:rsidR="006C1DD5" w:rsidRPr="00043DB3">
        <w:rPr>
          <w:i/>
          <w:color w:val="000000" w:themeColor="text1"/>
          <w:szCs w:val="28"/>
        </w:rPr>
        <w:t xml:space="preserve"> </w:t>
      </w:r>
      <w:r w:rsidR="006C1DD5" w:rsidRPr="00043DB3">
        <w:rPr>
          <w:iCs/>
          <w:color w:val="000000" w:themeColor="text1"/>
          <w:szCs w:val="28"/>
        </w:rPr>
        <w:t xml:space="preserve">tổ chức tuyển dụng công chức, viên chức, nâng ngạch công chức và thăng hạng viên chức trên địa bàn tỉnh Bắc Kạn </w:t>
      </w:r>
      <w:r w:rsidR="00503559" w:rsidRPr="00043DB3">
        <w:rPr>
          <w:iCs/>
          <w:color w:val="000000" w:themeColor="text1"/>
          <w:szCs w:val="28"/>
        </w:rPr>
        <w:t>thuộc chế</w:t>
      </w:r>
      <w:r w:rsidR="004A07CA" w:rsidRPr="00043DB3">
        <w:rPr>
          <w:iCs/>
          <w:color w:val="000000" w:themeColor="text1"/>
          <w:szCs w:val="28"/>
        </w:rPr>
        <w:t xml:space="preserve"> độ chi ngân sách có tính chất đặc thù của địa phương</w:t>
      </w:r>
      <w:r w:rsidR="0059333E" w:rsidRPr="00043DB3">
        <w:rPr>
          <w:iCs/>
          <w:color w:val="000000" w:themeColor="text1"/>
          <w:szCs w:val="28"/>
        </w:rPr>
        <w:t xml:space="preserve"> </w:t>
      </w:r>
      <w:r w:rsidR="009D5F27" w:rsidRPr="00043DB3">
        <w:rPr>
          <w:iCs/>
          <w:color w:val="000000" w:themeColor="text1"/>
          <w:szCs w:val="28"/>
        </w:rPr>
        <w:t>(</w:t>
      </w:r>
      <w:r w:rsidR="004A07CA" w:rsidRPr="00043DB3">
        <w:rPr>
          <w:iCs/>
          <w:color w:val="000000" w:themeColor="text1"/>
          <w:szCs w:val="28"/>
        </w:rPr>
        <w:t xml:space="preserve">dự thảo Nghị quyết chỉ quy định </w:t>
      </w:r>
      <w:r w:rsidR="0059333E" w:rsidRPr="00043DB3">
        <w:rPr>
          <w:iCs/>
          <w:color w:val="000000" w:themeColor="text1"/>
          <w:szCs w:val="28"/>
        </w:rPr>
        <w:t>nội dung</w:t>
      </w:r>
      <w:r w:rsidR="001D0B8F" w:rsidRPr="00043DB3">
        <w:rPr>
          <w:iCs/>
          <w:color w:val="000000" w:themeColor="text1"/>
          <w:szCs w:val="28"/>
        </w:rPr>
        <w:t xml:space="preserve"> chi</w:t>
      </w:r>
      <w:r w:rsidR="0059333E" w:rsidRPr="00043DB3">
        <w:rPr>
          <w:iCs/>
          <w:color w:val="000000" w:themeColor="text1"/>
          <w:szCs w:val="28"/>
        </w:rPr>
        <w:t xml:space="preserve">, mức chi </w:t>
      </w:r>
      <w:r w:rsidR="004A07CA" w:rsidRPr="00043DB3">
        <w:rPr>
          <w:iCs/>
          <w:color w:val="000000" w:themeColor="text1"/>
          <w:szCs w:val="28"/>
        </w:rPr>
        <w:t>từ nguồn ngân sách địa phương theo phân cấp ngân sách</w:t>
      </w:r>
      <w:r w:rsidR="0011528A" w:rsidRPr="00043DB3">
        <w:rPr>
          <w:iCs/>
          <w:color w:val="000000" w:themeColor="text1"/>
          <w:szCs w:val="28"/>
        </w:rPr>
        <w:t>,</w:t>
      </w:r>
      <w:r w:rsidR="004A07CA" w:rsidRPr="00043DB3">
        <w:rPr>
          <w:iCs/>
          <w:color w:val="000000" w:themeColor="text1"/>
          <w:szCs w:val="28"/>
        </w:rPr>
        <w:t xml:space="preserve"> không quy định từ nguồn thu phí </w:t>
      </w:r>
      <w:r w:rsidR="009D5F27" w:rsidRPr="00043DB3">
        <w:rPr>
          <w:iCs/>
          <w:color w:val="000000" w:themeColor="text1"/>
          <w:szCs w:val="28"/>
        </w:rPr>
        <w:t>và</w:t>
      </w:r>
      <w:r w:rsidR="00ED3394" w:rsidRPr="00043DB3">
        <w:rPr>
          <w:iCs/>
          <w:color w:val="000000" w:themeColor="text1"/>
          <w:szCs w:val="28"/>
        </w:rPr>
        <w:t xml:space="preserve"> các nguồn thu khác; nội dung này đã được nêu t</w:t>
      </w:r>
      <w:r w:rsidR="0059333E" w:rsidRPr="00043DB3">
        <w:rPr>
          <w:iCs/>
          <w:color w:val="000000" w:themeColor="text1"/>
          <w:szCs w:val="28"/>
        </w:rPr>
        <w:t xml:space="preserve">ại Điều </w:t>
      </w:r>
      <w:r w:rsidR="00513B26" w:rsidRPr="00043DB3">
        <w:rPr>
          <w:iCs/>
          <w:color w:val="000000" w:themeColor="text1"/>
          <w:szCs w:val="28"/>
        </w:rPr>
        <w:t xml:space="preserve">4 </w:t>
      </w:r>
      <w:r w:rsidR="0059333E" w:rsidRPr="00043DB3">
        <w:rPr>
          <w:iCs/>
          <w:color w:val="000000" w:themeColor="text1"/>
          <w:szCs w:val="28"/>
        </w:rPr>
        <w:t>của dự thảo Nghị quyết</w:t>
      </w:r>
      <w:r w:rsidR="00ED3394" w:rsidRPr="00043DB3">
        <w:rPr>
          <w:iCs/>
          <w:color w:val="000000" w:themeColor="text1"/>
          <w:szCs w:val="28"/>
        </w:rPr>
        <w:t xml:space="preserve">). </w:t>
      </w:r>
      <w:r w:rsidR="0059333E" w:rsidRPr="00043DB3">
        <w:rPr>
          <w:iCs/>
          <w:color w:val="000000" w:themeColor="text1"/>
          <w:szCs w:val="28"/>
        </w:rPr>
        <w:t xml:space="preserve">Do đó, việc xác định thẩm quyền ban hành của Hội đồng nhân dân tỉnh căn cứ theo </w:t>
      </w:r>
      <w:r w:rsidR="0059333E" w:rsidRPr="00043DB3">
        <w:rPr>
          <w:rFonts w:eastAsia="Times New Roman" w:cstheme="minorBidi"/>
          <w:color w:val="000000" w:themeColor="text1"/>
          <w:szCs w:val="28"/>
        </w:rPr>
        <w:t xml:space="preserve">khoản 3 Điều 21 Nghị định 163/2016/NĐ-CP là </w:t>
      </w:r>
      <w:r w:rsidR="00532BE1" w:rsidRPr="00043DB3">
        <w:rPr>
          <w:rFonts w:eastAsia="Times New Roman" w:cstheme="minorBidi"/>
          <w:color w:val="000000" w:themeColor="text1"/>
          <w:szCs w:val="28"/>
        </w:rPr>
        <w:t xml:space="preserve">đúng </w:t>
      </w:r>
      <w:r w:rsidR="003F1E2A">
        <w:rPr>
          <w:rFonts w:eastAsia="Times New Roman" w:cstheme="minorBidi"/>
          <w:color w:val="000000" w:themeColor="text1"/>
          <w:szCs w:val="28"/>
        </w:rPr>
        <w:t>quy định</w:t>
      </w:r>
      <w:r w:rsidR="0059333E" w:rsidRPr="00043DB3">
        <w:rPr>
          <w:rFonts w:eastAsia="Times New Roman" w:cstheme="minorBidi"/>
          <w:color w:val="000000" w:themeColor="text1"/>
          <w:szCs w:val="28"/>
        </w:rPr>
        <w:t>.</w:t>
      </w:r>
      <w:r w:rsidR="0059333E" w:rsidRPr="00043DB3">
        <w:rPr>
          <w:iCs/>
          <w:color w:val="000000" w:themeColor="text1"/>
          <w:szCs w:val="28"/>
        </w:rPr>
        <w:t xml:space="preserve"> </w:t>
      </w:r>
    </w:p>
    <w:p w14:paraId="26E87FEA" w14:textId="3D8BB091" w:rsidR="003024D6" w:rsidRPr="00043DB3" w:rsidRDefault="004B3800" w:rsidP="00043DB3">
      <w:pPr>
        <w:spacing w:before="120" w:after="120" w:line="340" w:lineRule="exact"/>
        <w:ind w:firstLine="720"/>
        <w:jc w:val="both"/>
        <w:rPr>
          <w:rFonts w:ascii="Times New Roman Bold" w:hAnsi="Times New Roman Bold"/>
          <w:b/>
          <w:szCs w:val="28"/>
        </w:rPr>
      </w:pPr>
      <w:r w:rsidRPr="00043DB3">
        <w:rPr>
          <w:rFonts w:ascii="Times New Roman Bold" w:hAnsi="Times New Roman Bold"/>
          <w:b/>
          <w:szCs w:val="28"/>
        </w:rPr>
        <w:t>3</w:t>
      </w:r>
      <w:r w:rsidR="00463EE5" w:rsidRPr="00043DB3">
        <w:rPr>
          <w:rFonts w:ascii="Times New Roman Bold" w:hAnsi="Times New Roman Bold"/>
          <w:b/>
          <w:szCs w:val="28"/>
        </w:rPr>
        <w:t xml:space="preserve">. Thuyết minh nội dung, mức chi tổ chức </w:t>
      </w:r>
      <w:r w:rsidR="00B63DBF" w:rsidRPr="00043DB3">
        <w:rPr>
          <w:rFonts w:ascii="Times New Roman Bold" w:hAnsi="Times New Roman Bold"/>
          <w:b/>
          <w:szCs w:val="28"/>
        </w:rPr>
        <w:t xml:space="preserve">tuyển dụng, </w:t>
      </w:r>
      <w:r w:rsidR="006F6E71" w:rsidRPr="00043DB3">
        <w:rPr>
          <w:rFonts w:ascii="Times New Roman Bold" w:hAnsi="Times New Roman Bold"/>
          <w:b/>
          <w:szCs w:val="28"/>
        </w:rPr>
        <w:t xml:space="preserve">thi </w:t>
      </w:r>
      <w:r w:rsidR="00B63DBF" w:rsidRPr="00043DB3">
        <w:rPr>
          <w:rFonts w:ascii="Times New Roman Bold" w:hAnsi="Times New Roman Bold"/>
          <w:b/>
          <w:szCs w:val="28"/>
        </w:rPr>
        <w:t xml:space="preserve">nâng ngạch, thăng hạng </w:t>
      </w:r>
      <w:r w:rsidR="00463EE5" w:rsidRPr="00043DB3">
        <w:rPr>
          <w:rFonts w:ascii="Times New Roman Bold" w:hAnsi="Times New Roman Bold"/>
          <w:b/>
          <w:szCs w:val="28"/>
        </w:rPr>
        <w:t>trên địa bàn tỉnh</w:t>
      </w:r>
    </w:p>
    <w:p w14:paraId="108CAF66" w14:textId="2811D625" w:rsidR="000148AC" w:rsidRPr="00043DB3" w:rsidRDefault="00111E63" w:rsidP="00043DB3">
      <w:pPr>
        <w:spacing w:before="120" w:after="120" w:line="340" w:lineRule="exact"/>
        <w:ind w:firstLine="720"/>
        <w:jc w:val="both"/>
        <w:rPr>
          <w:rFonts w:eastAsia="Times New Roman" w:cstheme="minorBidi"/>
          <w:color w:val="000000" w:themeColor="text1"/>
          <w:szCs w:val="28"/>
        </w:rPr>
      </w:pPr>
      <w:r w:rsidRPr="00043DB3">
        <w:rPr>
          <w:rFonts w:eastAsia="Times New Roman" w:cstheme="minorBidi"/>
          <w:i/>
          <w:iCs/>
          <w:color w:val="000000" w:themeColor="text1"/>
          <w:szCs w:val="28"/>
        </w:rPr>
        <w:t>3.1.</w:t>
      </w:r>
      <w:r w:rsidR="000148AC" w:rsidRPr="00043DB3">
        <w:rPr>
          <w:rFonts w:eastAsia="Times New Roman" w:cstheme="minorBidi"/>
          <w:i/>
          <w:iCs/>
          <w:color w:val="000000" w:themeColor="text1"/>
          <w:szCs w:val="28"/>
        </w:rPr>
        <w:t xml:space="preserve"> Thuyết minh lý do quy định tiền công cho các thành viên tham gia tổ chức kỳ thi</w:t>
      </w:r>
      <w:r w:rsidR="00EB6782" w:rsidRPr="00043DB3">
        <w:rPr>
          <w:rFonts w:eastAsia="Times New Roman" w:cstheme="minorBidi"/>
          <w:color w:val="000000" w:themeColor="text1"/>
          <w:szCs w:val="28"/>
        </w:rPr>
        <w:t>:</w:t>
      </w:r>
      <w:r w:rsidR="000148AC" w:rsidRPr="00043DB3">
        <w:rPr>
          <w:rFonts w:eastAsia="Times New Roman" w:cstheme="minorBidi"/>
          <w:color w:val="000000" w:themeColor="text1"/>
          <w:szCs w:val="28"/>
        </w:rPr>
        <w:t xml:space="preserve">  </w:t>
      </w:r>
    </w:p>
    <w:p w14:paraId="3361C3CF" w14:textId="10FD782A" w:rsidR="006B7093" w:rsidRPr="00043DB3" w:rsidRDefault="00611469" w:rsidP="00043DB3">
      <w:pPr>
        <w:spacing w:before="120" w:after="120" w:line="340" w:lineRule="exact"/>
        <w:ind w:firstLine="720"/>
        <w:jc w:val="both"/>
        <w:rPr>
          <w:color w:val="000000" w:themeColor="text1"/>
          <w:szCs w:val="28"/>
        </w:rPr>
      </w:pPr>
      <w:r w:rsidRPr="00043DB3">
        <w:rPr>
          <w:rFonts w:eastAsia="Times New Roman" w:cstheme="minorBidi"/>
          <w:color w:val="000000" w:themeColor="text1"/>
          <w:szCs w:val="28"/>
        </w:rPr>
        <w:t>Tại</w:t>
      </w:r>
      <w:r w:rsidR="00F31147" w:rsidRPr="00043DB3">
        <w:rPr>
          <w:color w:val="000000" w:themeColor="text1"/>
          <w:szCs w:val="28"/>
        </w:rPr>
        <w:t xml:space="preserve"> Thông tư số 92/2021/TT-BTC </w:t>
      </w:r>
      <w:r w:rsidR="00EB6782" w:rsidRPr="00043DB3">
        <w:rPr>
          <w:color w:val="000000" w:themeColor="text1"/>
          <w:szCs w:val="28"/>
        </w:rPr>
        <w:t xml:space="preserve">ngày 28/10/2021 của </w:t>
      </w:r>
      <w:r w:rsidR="00ED6C52" w:rsidRPr="00043DB3">
        <w:rPr>
          <w:color w:val="000000" w:themeColor="text1"/>
          <w:szCs w:val="28"/>
        </w:rPr>
        <w:t xml:space="preserve">Bộ trưởng </w:t>
      </w:r>
      <w:r w:rsidR="00EB6782" w:rsidRPr="00043DB3">
        <w:rPr>
          <w:color w:val="000000" w:themeColor="text1"/>
          <w:szCs w:val="28"/>
        </w:rPr>
        <w:t xml:space="preserve">Bộ Tài chính </w:t>
      </w:r>
      <w:r w:rsidR="00F31147" w:rsidRPr="00043DB3">
        <w:rPr>
          <w:color w:val="000000" w:themeColor="text1"/>
          <w:szCs w:val="28"/>
        </w:rPr>
        <w:t xml:space="preserve">chỉ quy định nội dung, mức chi từ nguồn thu phí tuyển dụng, dự thi nâng ngạch, thăng hạng công chức, viên chức. </w:t>
      </w:r>
      <w:r w:rsidR="00202533" w:rsidRPr="00043DB3">
        <w:rPr>
          <w:color w:val="000000" w:themeColor="text1"/>
          <w:szCs w:val="28"/>
        </w:rPr>
        <w:t>Trong đó</w:t>
      </w:r>
      <w:r w:rsidR="00B9124C" w:rsidRPr="00043DB3">
        <w:rPr>
          <w:color w:val="000000" w:themeColor="text1"/>
          <w:szCs w:val="28"/>
        </w:rPr>
        <w:t>,</w:t>
      </w:r>
      <w:r w:rsidR="008808F2" w:rsidRPr="00043DB3">
        <w:rPr>
          <w:color w:val="000000" w:themeColor="text1"/>
          <w:szCs w:val="28"/>
        </w:rPr>
        <w:t xml:space="preserve"> quy định</w:t>
      </w:r>
      <w:r w:rsidR="00202533" w:rsidRPr="00043DB3">
        <w:rPr>
          <w:color w:val="000000" w:themeColor="text1"/>
          <w:szCs w:val="28"/>
        </w:rPr>
        <w:t xml:space="preserve"> mức chi thực hiện theo các quy định hiện hành</w:t>
      </w:r>
      <w:r w:rsidR="0085502D" w:rsidRPr="00043DB3">
        <w:rPr>
          <w:color w:val="000000" w:themeColor="text1"/>
          <w:szCs w:val="28"/>
        </w:rPr>
        <w:t>,</w:t>
      </w:r>
      <w:r w:rsidR="00202533" w:rsidRPr="00043DB3">
        <w:rPr>
          <w:color w:val="000000" w:themeColor="text1"/>
          <w:szCs w:val="28"/>
        </w:rPr>
        <w:t xml:space="preserve"> có nghĩa là các thành viên tham gia tổ chức các kỳ thi sẽ chỉ được thanh toán tiền bồi dưỡng (ngoài tiền lương theo quy định) đối với thời gian làm việc ngoài giờ hành chính (thanh toán kinh phí làm thêm giờ)</w:t>
      </w:r>
      <w:r w:rsidR="006B7093" w:rsidRPr="00043DB3">
        <w:rPr>
          <w:color w:val="000000" w:themeColor="text1"/>
          <w:szCs w:val="28"/>
        </w:rPr>
        <w:t>.</w:t>
      </w:r>
    </w:p>
    <w:p w14:paraId="08BD1543" w14:textId="1D9A7D7A" w:rsidR="00611469" w:rsidRPr="00043DB3" w:rsidRDefault="00202533" w:rsidP="00043DB3">
      <w:pPr>
        <w:spacing w:before="120" w:after="120" w:line="340" w:lineRule="exact"/>
        <w:ind w:firstLine="720"/>
        <w:jc w:val="both"/>
        <w:rPr>
          <w:color w:val="000000" w:themeColor="text1"/>
          <w:szCs w:val="28"/>
        </w:rPr>
      </w:pPr>
      <w:r w:rsidRPr="00043DB3">
        <w:rPr>
          <w:color w:val="000000" w:themeColor="text1"/>
          <w:szCs w:val="28"/>
        </w:rPr>
        <w:t xml:space="preserve"> Tại dự thảo Nghị quyết </w:t>
      </w:r>
      <w:r w:rsidR="00E01EE7" w:rsidRPr="00043DB3">
        <w:rPr>
          <w:color w:val="000000" w:themeColor="text1"/>
          <w:szCs w:val="28"/>
        </w:rPr>
        <w:t>không đề xuất chi thanh toán làm thêm giờ cho các thanh viên tham gia kỳ thi như quy định tại Thông tư số 92/2021/TT-BTC</w:t>
      </w:r>
      <w:r w:rsidR="00172896" w:rsidRPr="00043DB3">
        <w:rPr>
          <w:color w:val="000000" w:themeColor="text1"/>
          <w:szCs w:val="28"/>
        </w:rPr>
        <w:t xml:space="preserve"> mà đề xuất quy định tiền công cho các thanh viên tham gia kỳ thi</w:t>
      </w:r>
      <w:r w:rsidR="00BF40BE" w:rsidRPr="00043DB3">
        <w:rPr>
          <w:color w:val="000000" w:themeColor="text1"/>
          <w:szCs w:val="28"/>
        </w:rPr>
        <w:t>, lý do</w:t>
      </w:r>
      <w:r w:rsidR="00172896" w:rsidRPr="00043DB3">
        <w:rPr>
          <w:color w:val="000000" w:themeColor="text1"/>
          <w:szCs w:val="28"/>
        </w:rPr>
        <w:t>:</w:t>
      </w:r>
    </w:p>
    <w:p w14:paraId="21693A49" w14:textId="66F7ACD6" w:rsidR="002260CB" w:rsidRPr="00043DB3" w:rsidRDefault="002260CB" w:rsidP="00043DB3">
      <w:pPr>
        <w:spacing w:before="120" w:after="120" w:line="340" w:lineRule="exact"/>
        <w:ind w:firstLine="720"/>
        <w:jc w:val="both"/>
        <w:rPr>
          <w:color w:val="000000" w:themeColor="text1"/>
          <w:szCs w:val="28"/>
        </w:rPr>
      </w:pPr>
      <w:r w:rsidRPr="00043DB3">
        <w:rPr>
          <w:color w:val="000000" w:themeColor="text1"/>
          <w:szCs w:val="28"/>
        </w:rPr>
        <w:t>Thực tế từ năm 201</w:t>
      </w:r>
      <w:r w:rsidR="00BF40BE" w:rsidRPr="00043DB3">
        <w:rPr>
          <w:color w:val="000000" w:themeColor="text1"/>
          <w:szCs w:val="28"/>
        </w:rPr>
        <w:t>7</w:t>
      </w:r>
      <w:r w:rsidRPr="00043DB3">
        <w:rPr>
          <w:color w:val="000000" w:themeColor="text1"/>
          <w:szCs w:val="28"/>
        </w:rPr>
        <w:t xml:space="preserve"> đến nay</w:t>
      </w:r>
      <w:r w:rsidR="00C82C39" w:rsidRPr="00043DB3">
        <w:rPr>
          <w:color w:val="000000" w:themeColor="text1"/>
          <w:szCs w:val="28"/>
        </w:rPr>
        <w:t xml:space="preserve">, các đơn vị tổ chức thi đã áp dụng nội dung, mức chi theo Quyết định </w:t>
      </w:r>
      <w:r w:rsidR="00ED6C52" w:rsidRPr="00043DB3">
        <w:rPr>
          <w:color w:val="000000" w:themeColor="text1"/>
          <w:szCs w:val="28"/>
        </w:rPr>
        <w:t xml:space="preserve">số </w:t>
      </w:r>
      <w:r w:rsidR="00C82C39" w:rsidRPr="00043DB3">
        <w:rPr>
          <w:color w:val="000000" w:themeColor="text1"/>
          <w:szCs w:val="28"/>
        </w:rPr>
        <w:t>23</w:t>
      </w:r>
      <w:r w:rsidR="00BF40BE" w:rsidRPr="00043DB3">
        <w:rPr>
          <w:color w:val="000000" w:themeColor="text1"/>
          <w:szCs w:val="28"/>
        </w:rPr>
        <w:t>3</w:t>
      </w:r>
      <w:r w:rsidR="00C82C39" w:rsidRPr="00043DB3">
        <w:rPr>
          <w:color w:val="000000" w:themeColor="text1"/>
          <w:szCs w:val="28"/>
        </w:rPr>
        <w:t xml:space="preserve">8/2012/QĐ-UBND, trong đó đã chi tiền công cho các thành viên tham gia </w:t>
      </w:r>
      <w:r w:rsidR="00BF40BE" w:rsidRPr="00043DB3">
        <w:rPr>
          <w:color w:val="000000" w:themeColor="text1"/>
          <w:szCs w:val="28"/>
        </w:rPr>
        <w:t xml:space="preserve">kỳ </w:t>
      </w:r>
      <w:r w:rsidR="00C82C39" w:rsidRPr="00043DB3">
        <w:rPr>
          <w:color w:val="000000" w:themeColor="text1"/>
          <w:szCs w:val="28"/>
        </w:rPr>
        <w:t>thi theo Quyết định này.</w:t>
      </w:r>
    </w:p>
    <w:p w14:paraId="34362435" w14:textId="59DBC222" w:rsidR="00C82C39" w:rsidRPr="00043DB3" w:rsidRDefault="004646DD" w:rsidP="005B3372">
      <w:pPr>
        <w:spacing w:before="160" w:after="160" w:line="340" w:lineRule="exact"/>
        <w:ind w:firstLine="720"/>
        <w:jc w:val="both"/>
        <w:rPr>
          <w:color w:val="000000" w:themeColor="text1"/>
          <w:szCs w:val="28"/>
        </w:rPr>
      </w:pPr>
      <w:r w:rsidRPr="00043DB3">
        <w:rPr>
          <w:color w:val="000000" w:themeColor="text1"/>
          <w:szCs w:val="28"/>
        </w:rPr>
        <w:lastRenderedPageBreak/>
        <w:t>Bên cạnh đó, công tác tuyển dụng, nâng ngạch, thăng hạng là công việc đặc thù, trong đó phải huy động nguồn nhân lực từ các cơ quan, đơn vị khác nhau để thực hiện. Theo quy định, các quy trình phải bảo đảm thực hiện đúng trình tự, thời gian quy định; khi tổ chức một kỳ tuyển dụng, nâng ngạch, thăng hạng phải huy động nguồn nhân lực khác nhau từ cán bộ, công chức, viên chức và các chuyên gia có đủ kinh nghiệm để tham gia. Hiện nay, về cơ bản biên chế công chức, viên chức giao cho các đơn vị đều thiếu so với vị trí việc làm, do đó các cơ quan, đơn vị không đủ người làm việc theo cấp có thẩm quyền giao, do đó việc triệu tập công chức, viên chức rất khó khăn, chủ yếu các thành viên tham gia còn phải thực hiện các nhiệm vụ chuyên môn tại đơn vị và được tính làm thêm giờ theo quy định. Do đó, nếu thực hiện theo phương án làm thêm giờ là không bảo đảm khả thi (cơ quan chủ trì tổ chức tuyển dụng, nâng ngạch, thăng hạng sẽ phải thống kê số ngày làm thêm giờ của các cơ quan, đơn vị sử dụng công chức, viên chức đối với các thành viên tham gia, sau đó mới tiếp tục tính số giờ làm thêm tại Hội đồng), nếu thực hiện theo phương án này sẽ gặp khó khăn như sau: Như trên đã nêu, tuyển dụng là công việc đặc thù, cần lựa chọn người có năng lực, kinh nghiệm vào các Ban giúp việc của Hội đồng, tuy nhiên nếu nhân sự đó đã thực hiện đủ số giờ theo quy định tại cơ quan, đơn vị thì Hội đồng không thanh toán được làm thêm giờ cho các đối tượng này do đã vượt quá thời gian làm thêm giờ theo quy định của Bộ Tài chính. Mặt khác, nếu tính tiền làm thêm giờ cho các thành viên tham gia Hội đồng và các Ban giúp việc của Hội đồng thì số kinh phí sẽ rất lớn do mỗi kỳ tuyển dụng, nâng ngạch, thăng hạng phải huy động các thành viên tham gia các Ban giúp việc của Hội đồng, tổ giúp việc…(vòng 1, vòng 2) dự kiến mỗi kỳ tuyển dụng công chức, nâng ngạch, thăng hạng viên chức có khoảng trên 100 lượt người tham gia, tùy theo số lượng thí sinh tham gia thì thành viên tham gia có thể tăng lên.</w:t>
      </w:r>
    </w:p>
    <w:p w14:paraId="68A51B76" w14:textId="373747D9" w:rsidR="00202533" w:rsidRPr="00043DB3" w:rsidRDefault="00111E63" w:rsidP="005B3372">
      <w:pPr>
        <w:spacing w:before="180" w:after="180" w:line="340" w:lineRule="exact"/>
        <w:ind w:firstLine="720"/>
        <w:jc w:val="both"/>
        <w:rPr>
          <w:i/>
          <w:iCs/>
          <w:color w:val="000000" w:themeColor="text1"/>
          <w:szCs w:val="28"/>
        </w:rPr>
      </w:pPr>
      <w:r w:rsidRPr="00043DB3">
        <w:rPr>
          <w:i/>
          <w:iCs/>
          <w:color w:val="000000" w:themeColor="text1"/>
          <w:szCs w:val="28"/>
        </w:rPr>
        <w:t>3.2.</w:t>
      </w:r>
      <w:r w:rsidR="009C2570" w:rsidRPr="00043DB3">
        <w:rPr>
          <w:i/>
          <w:iCs/>
          <w:color w:val="000000" w:themeColor="text1"/>
          <w:szCs w:val="28"/>
        </w:rPr>
        <w:t xml:space="preserve"> </w:t>
      </w:r>
      <w:r w:rsidR="000148AC" w:rsidRPr="00043DB3">
        <w:rPr>
          <w:i/>
          <w:iCs/>
          <w:color w:val="000000" w:themeColor="text1"/>
          <w:szCs w:val="28"/>
        </w:rPr>
        <w:t xml:space="preserve">Thuyết minh </w:t>
      </w:r>
      <w:r w:rsidR="009C2570" w:rsidRPr="00043DB3">
        <w:rPr>
          <w:i/>
          <w:iCs/>
          <w:color w:val="000000" w:themeColor="text1"/>
          <w:szCs w:val="28"/>
        </w:rPr>
        <w:t>việc không phân định được riêng nội dung</w:t>
      </w:r>
      <w:r w:rsidR="00EC4580" w:rsidRPr="00043DB3">
        <w:rPr>
          <w:i/>
          <w:iCs/>
          <w:color w:val="000000" w:themeColor="text1"/>
          <w:szCs w:val="28"/>
        </w:rPr>
        <w:t xml:space="preserve"> chi</w:t>
      </w:r>
      <w:r w:rsidR="009C2570" w:rsidRPr="00043DB3">
        <w:rPr>
          <w:i/>
          <w:iCs/>
          <w:color w:val="000000" w:themeColor="text1"/>
          <w:szCs w:val="28"/>
        </w:rPr>
        <w:t>, mức chi từ nguồn ngân sách nhà nước hỗ trợ:</w:t>
      </w:r>
    </w:p>
    <w:p w14:paraId="4CAEBF68" w14:textId="6F83ECC4" w:rsidR="009C2570" w:rsidRPr="00043DB3" w:rsidRDefault="007624C6" w:rsidP="005B3372">
      <w:pPr>
        <w:spacing w:before="180" w:after="180" w:line="340" w:lineRule="exact"/>
        <w:ind w:firstLine="720"/>
        <w:jc w:val="both"/>
        <w:rPr>
          <w:color w:val="000000" w:themeColor="text1"/>
          <w:szCs w:val="28"/>
        </w:rPr>
      </w:pPr>
      <w:r w:rsidRPr="00043DB3">
        <w:rPr>
          <w:color w:val="000000" w:themeColor="text1"/>
          <w:szCs w:val="28"/>
        </w:rPr>
        <w:t>T</w:t>
      </w:r>
      <w:r w:rsidR="009C2570" w:rsidRPr="00043DB3">
        <w:rPr>
          <w:color w:val="000000" w:themeColor="text1"/>
          <w:szCs w:val="28"/>
        </w:rPr>
        <w:t xml:space="preserve">ổng nguồn phí </w:t>
      </w:r>
      <w:r w:rsidR="00902FAD" w:rsidRPr="00043DB3">
        <w:rPr>
          <w:color w:val="000000" w:themeColor="text1"/>
          <w:szCs w:val="28"/>
        </w:rPr>
        <w:t>thu được của</w:t>
      </w:r>
      <w:r w:rsidR="009C2570" w:rsidRPr="00043DB3">
        <w:rPr>
          <w:color w:val="000000" w:themeColor="text1"/>
          <w:szCs w:val="28"/>
        </w:rPr>
        <w:t xml:space="preserve"> mỗi kỳ thi không giống nhau vì phụ thuộc vào số lượng thí sinh dự thi</w:t>
      </w:r>
      <w:r w:rsidRPr="00043DB3">
        <w:rPr>
          <w:color w:val="000000" w:themeColor="text1"/>
          <w:szCs w:val="28"/>
        </w:rPr>
        <w:t xml:space="preserve"> (</w:t>
      </w:r>
      <w:r w:rsidR="009C2570" w:rsidRPr="00043DB3">
        <w:rPr>
          <w:color w:val="000000" w:themeColor="text1"/>
          <w:szCs w:val="28"/>
        </w:rPr>
        <w:t xml:space="preserve">số lượng thí sinh </w:t>
      </w:r>
      <w:r w:rsidRPr="00043DB3">
        <w:rPr>
          <w:color w:val="000000" w:themeColor="text1"/>
          <w:szCs w:val="28"/>
        </w:rPr>
        <w:t>lớn</w:t>
      </w:r>
      <w:r w:rsidR="009C2570" w:rsidRPr="00043DB3">
        <w:rPr>
          <w:color w:val="000000" w:themeColor="text1"/>
          <w:szCs w:val="28"/>
        </w:rPr>
        <w:t xml:space="preserve"> sẽ có tổng số </w:t>
      </w:r>
      <w:r w:rsidRPr="00043DB3">
        <w:rPr>
          <w:color w:val="000000" w:themeColor="text1"/>
          <w:szCs w:val="28"/>
        </w:rPr>
        <w:t xml:space="preserve">phí thu được lớn và ngược lại), do vậy </w:t>
      </w:r>
      <w:r w:rsidR="00C553E8" w:rsidRPr="00043DB3">
        <w:rPr>
          <w:color w:val="000000" w:themeColor="text1"/>
          <w:szCs w:val="28"/>
        </w:rPr>
        <w:t xml:space="preserve">tại thời điểm hiện nay </w:t>
      </w:r>
      <w:r w:rsidRPr="00043DB3">
        <w:rPr>
          <w:color w:val="000000" w:themeColor="text1"/>
          <w:szCs w:val="28"/>
        </w:rPr>
        <w:t>không thể dự kiến trước nguồn thu phí của mỗi kỳ thi sẽ đáp ứng được bao nhiêu nội dung nhiệm vụ của kỳ thi</w:t>
      </w:r>
      <w:r w:rsidR="003238E5" w:rsidRPr="00043DB3">
        <w:rPr>
          <w:color w:val="000000" w:themeColor="text1"/>
          <w:szCs w:val="28"/>
        </w:rPr>
        <w:t>, từ đó</w:t>
      </w:r>
      <w:r w:rsidRPr="00043DB3">
        <w:rPr>
          <w:color w:val="000000" w:themeColor="text1"/>
          <w:szCs w:val="28"/>
        </w:rPr>
        <w:t xml:space="preserve"> </w:t>
      </w:r>
      <w:r w:rsidR="003238E5" w:rsidRPr="00043DB3">
        <w:rPr>
          <w:color w:val="000000" w:themeColor="text1"/>
          <w:szCs w:val="28"/>
        </w:rPr>
        <w:t xml:space="preserve">cũng không </w:t>
      </w:r>
      <w:r w:rsidRPr="00043DB3">
        <w:rPr>
          <w:color w:val="000000" w:themeColor="text1"/>
          <w:szCs w:val="28"/>
        </w:rPr>
        <w:t xml:space="preserve">xác định </w:t>
      </w:r>
      <w:r w:rsidR="003238E5" w:rsidRPr="00043DB3">
        <w:rPr>
          <w:color w:val="000000" w:themeColor="text1"/>
          <w:szCs w:val="28"/>
        </w:rPr>
        <w:t xml:space="preserve">được </w:t>
      </w:r>
      <w:r w:rsidRPr="00043DB3">
        <w:rPr>
          <w:color w:val="000000" w:themeColor="text1"/>
          <w:szCs w:val="28"/>
        </w:rPr>
        <w:t>phần nhiệm vụ còn lại ngân sách nhà nước phải hỗ trợ</w:t>
      </w:r>
      <w:r w:rsidR="003238E5" w:rsidRPr="00043DB3">
        <w:rPr>
          <w:color w:val="000000" w:themeColor="text1"/>
          <w:szCs w:val="28"/>
        </w:rPr>
        <w:t>.</w:t>
      </w:r>
      <w:r w:rsidRPr="00043DB3">
        <w:rPr>
          <w:color w:val="000000" w:themeColor="text1"/>
          <w:szCs w:val="28"/>
        </w:rPr>
        <w:t xml:space="preserve"> </w:t>
      </w:r>
    </w:p>
    <w:p w14:paraId="007B72FE" w14:textId="7E602DDE" w:rsidR="007872AB" w:rsidRPr="00043DB3" w:rsidRDefault="00902FAD" w:rsidP="005B3372">
      <w:pPr>
        <w:spacing w:before="180" w:after="180" w:line="340" w:lineRule="exact"/>
        <w:ind w:firstLine="720"/>
        <w:jc w:val="both"/>
        <w:rPr>
          <w:color w:val="000000" w:themeColor="text1"/>
          <w:szCs w:val="28"/>
        </w:rPr>
      </w:pPr>
      <w:r w:rsidRPr="00043DB3">
        <w:rPr>
          <w:color w:val="000000" w:themeColor="text1"/>
          <w:szCs w:val="28"/>
        </w:rPr>
        <w:t>Sau khi các cơ quan</w:t>
      </w:r>
      <w:r w:rsidR="00591790" w:rsidRPr="00043DB3">
        <w:rPr>
          <w:color w:val="000000" w:themeColor="text1"/>
          <w:szCs w:val="28"/>
        </w:rPr>
        <w:t>,</w:t>
      </w:r>
      <w:r w:rsidRPr="00043DB3">
        <w:rPr>
          <w:color w:val="000000" w:themeColor="text1"/>
          <w:szCs w:val="28"/>
        </w:rPr>
        <w:t xml:space="preserve"> </w:t>
      </w:r>
      <w:r w:rsidR="00591790" w:rsidRPr="00043DB3">
        <w:rPr>
          <w:color w:val="000000" w:themeColor="text1"/>
          <w:szCs w:val="28"/>
        </w:rPr>
        <w:t xml:space="preserve">đơn vị </w:t>
      </w:r>
      <w:r w:rsidRPr="00043DB3">
        <w:rPr>
          <w:color w:val="000000" w:themeColor="text1"/>
          <w:szCs w:val="28"/>
        </w:rPr>
        <w:t>tổ chức thi thực hiện thu xong phí của các thí sinh dự thi mới xác định chính xác tổng số phí thu được của mỗi đợt thi; đồng thời, xác định được tổng mức phí thu</w:t>
      </w:r>
      <w:r w:rsidR="00A52F7E" w:rsidRPr="00043DB3">
        <w:rPr>
          <w:color w:val="000000" w:themeColor="text1"/>
          <w:szCs w:val="28"/>
        </w:rPr>
        <w:t xml:space="preserve"> </w:t>
      </w:r>
      <w:r w:rsidR="007E1303" w:rsidRPr="00043DB3">
        <w:rPr>
          <w:color w:val="000000" w:themeColor="text1"/>
          <w:szCs w:val="28"/>
        </w:rPr>
        <w:t>đáp ứng được bao nhiêu % nhu cầu chi tổ chức kỳ thi</w:t>
      </w:r>
      <w:r w:rsidR="007872AB" w:rsidRPr="00043DB3">
        <w:rPr>
          <w:color w:val="000000" w:themeColor="text1"/>
          <w:szCs w:val="28"/>
        </w:rPr>
        <w:t xml:space="preserve">. </w:t>
      </w:r>
      <w:r w:rsidR="007E1303" w:rsidRPr="00043DB3">
        <w:rPr>
          <w:color w:val="000000" w:themeColor="text1"/>
          <w:szCs w:val="28"/>
        </w:rPr>
        <w:t>Cụ thể đối với cấp tỉnh: S</w:t>
      </w:r>
      <w:r w:rsidR="007872AB" w:rsidRPr="00043DB3">
        <w:rPr>
          <w:color w:val="000000" w:themeColor="text1"/>
          <w:szCs w:val="28"/>
        </w:rPr>
        <w:t>au khi xác định được tổng số phí thu được, Sở Nội vụ lập dự toán kinh phí tổ chức kỳ thi; trường hợp số phí thu được không đảm bảo toàn bộ các nội dung, nhiệm vụ của kỳ thi, Sở Nội vụ đề nghị Sở Tài chính thẩm định</w:t>
      </w:r>
      <w:r w:rsidR="00E625B5" w:rsidRPr="00043DB3">
        <w:rPr>
          <w:color w:val="000000" w:themeColor="text1"/>
          <w:szCs w:val="28"/>
        </w:rPr>
        <w:t>,</w:t>
      </w:r>
      <w:r w:rsidR="007872AB" w:rsidRPr="00043DB3">
        <w:rPr>
          <w:color w:val="000000" w:themeColor="text1"/>
          <w:szCs w:val="28"/>
        </w:rPr>
        <w:t xml:space="preserve"> tham mưu cho </w:t>
      </w:r>
      <w:r w:rsidR="00787D0D" w:rsidRPr="00043DB3">
        <w:rPr>
          <w:color w:val="000000" w:themeColor="text1"/>
          <w:szCs w:val="28"/>
        </w:rPr>
        <w:t>Ủy ban nhân dân</w:t>
      </w:r>
      <w:r w:rsidR="007872AB" w:rsidRPr="00043DB3">
        <w:rPr>
          <w:color w:val="000000" w:themeColor="text1"/>
          <w:szCs w:val="28"/>
        </w:rPr>
        <w:t xml:space="preserve"> tỉnh cấp hỗ trợ kinh phí theo quy định.</w:t>
      </w:r>
    </w:p>
    <w:p w14:paraId="1A1AFC82" w14:textId="1ECA214E" w:rsidR="00611469" w:rsidRPr="00043DB3" w:rsidRDefault="00111E63" w:rsidP="005B3372">
      <w:pPr>
        <w:spacing w:before="180" w:after="180" w:line="340" w:lineRule="exact"/>
        <w:ind w:firstLine="720"/>
        <w:jc w:val="both"/>
        <w:rPr>
          <w:i/>
          <w:iCs/>
          <w:color w:val="000000" w:themeColor="text1"/>
          <w:szCs w:val="28"/>
        </w:rPr>
      </w:pPr>
      <w:r w:rsidRPr="00043DB3">
        <w:rPr>
          <w:i/>
          <w:iCs/>
          <w:color w:val="000000" w:themeColor="text1"/>
          <w:szCs w:val="28"/>
        </w:rPr>
        <w:lastRenderedPageBreak/>
        <w:t xml:space="preserve">3.3. </w:t>
      </w:r>
      <w:r w:rsidR="00551E33" w:rsidRPr="00043DB3">
        <w:rPr>
          <w:i/>
          <w:iCs/>
          <w:color w:val="000000" w:themeColor="text1"/>
          <w:szCs w:val="28"/>
        </w:rPr>
        <w:t>Thuyết minh cụ thể nội dung, mức chi tại dự thảo Nghị quyết</w:t>
      </w:r>
      <w:r w:rsidR="00787D0D" w:rsidRPr="00043DB3">
        <w:rPr>
          <w:i/>
          <w:iCs/>
          <w:color w:val="000000" w:themeColor="text1"/>
          <w:szCs w:val="28"/>
        </w:rPr>
        <w:t>:</w:t>
      </w:r>
    </w:p>
    <w:p w14:paraId="44A7BB93" w14:textId="2F610A1C" w:rsidR="00EF4167" w:rsidRPr="007B1455" w:rsidRDefault="00EF4167" w:rsidP="00043DB3">
      <w:pPr>
        <w:spacing w:before="120" w:after="120" w:line="340" w:lineRule="exact"/>
        <w:ind w:firstLine="720"/>
        <w:jc w:val="both"/>
        <w:rPr>
          <w:spacing w:val="-2"/>
          <w:szCs w:val="28"/>
        </w:rPr>
      </w:pPr>
      <w:r w:rsidRPr="007B1455">
        <w:rPr>
          <w:color w:val="000000" w:themeColor="text1"/>
          <w:spacing w:val="-2"/>
          <w:szCs w:val="28"/>
        </w:rPr>
        <w:t xml:space="preserve">Từ </w:t>
      </w:r>
      <w:r w:rsidR="002311EE" w:rsidRPr="007B1455">
        <w:rPr>
          <w:color w:val="000000" w:themeColor="text1"/>
          <w:spacing w:val="-2"/>
          <w:szCs w:val="28"/>
        </w:rPr>
        <w:t xml:space="preserve">nội dung thuyết minh tại điểm </w:t>
      </w:r>
      <w:r w:rsidR="00111E63" w:rsidRPr="007B1455">
        <w:rPr>
          <w:color w:val="000000" w:themeColor="text1"/>
          <w:spacing w:val="-2"/>
          <w:szCs w:val="28"/>
        </w:rPr>
        <w:t>3.1</w:t>
      </w:r>
      <w:r w:rsidR="002311EE" w:rsidRPr="007B1455">
        <w:rPr>
          <w:color w:val="000000" w:themeColor="text1"/>
          <w:spacing w:val="-2"/>
          <w:szCs w:val="28"/>
        </w:rPr>
        <w:t xml:space="preserve"> khoản </w:t>
      </w:r>
      <w:r w:rsidR="00787D0D" w:rsidRPr="007B1455">
        <w:rPr>
          <w:color w:val="000000" w:themeColor="text1"/>
          <w:spacing w:val="-2"/>
          <w:szCs w:val="28"/>
        </w:rPr>
        <w:t>3</w:t>
      </w:r>
      <w:r w:rsidRPr="007B1455">
        <w:rPr>
          <w:color w:val="000000" w:themeColor="text1"/>
          <w:spacing w:val="-2"/>
          <w:szCs w:val="28"/>
        </w:rPr>
        <w:t xml:space="preserve"> nêu trên</w:t>
      </w:r>
      <w:r w:rsidR="00F15158" w:rsidRPr="007B1455">
        <w:rPr>
          <w:color w:val="000000" w:themeColor="text1"/>
          <w:spacing w:val="-2"/>
          <w:szCs w:val="28"/>
        </w:rPr>
        <w:t>,</w:t>
      </w:r>
      <w:r w:rsidRPr="007B1455">
        <w:rPr>
          <w:color w:val="000000" w:themeColor="text1"/>
          <w:spacing w:val="-2"/>
          <w:szCs w:val="28"/>
        </w:rPr>
        <w:t xml:space="preserve"> </w:t>
      </w:r>
      <w:r w:rsidRPr="007B1455">
        <w:rPr>
          <w:spacing w:val="-2"/>
          <w:szCs w:val="28"/>
        </w:rPr>
        <w:t>Ủy ban nhân dân tỉnh đề xuất theo hướng: Hỗ trợ cho các thành viên tham gia</w:t>
      </w:r>
      <w:r w:rsidR="007D02AE" w:rsidRPr="007B1455">
        <w:rPr>
          <w:spacing w:val="-2"/>
          <w:szCs w:val="28"/>
        </w:rPr>
        <w:t xml:space="preserve"> </w:t>
      </w:r>
      <w:r w:rsidR="0026200F" w:rsidRPr="007B1455">
        <w:rPr>
          <w:spacing w:val="-2"/>
          <w:szCs w:val="28"/>
        </w:rPr>
        <w:t xml:space="preserve">Hội đồng, các Ban giúp việc của Hội đồng </w:t>
      </w:r>
      <w:r w:rsidR="007D02AE" w:rsidRPr="007B1455">
        <w:rPr>
          <w:spacing w:val="-2"/>
          <w:szCs w:val="28"/>
        </w:rPr>
        <w:t xml:space="preserve">theo phương án hỗ trợ kinh phí </w:t>
      </w:r>
      <w:r w:rsidR="00A45309" w:rsidRPr="007B1455">
        <w:rPr>
          <w:spacing w:val="-2"/>
          <w:szCs w:val="28"/>
        </w:rPr>
        <w:t xml:space="preserve">theo người/ngày. </w:t>
      </w:r>
      <w:r w:rsidR="00D502E8" w:rsidRPr="007B1455">
        <w:rPr>
          <w:spacing w:val="-2"/>
          <w:szCs w:val="28"/>
        </w:rPr>
        <w:t>Qua</w:t>
      </w:r>
      <w:r w:rsidR="00A45309" w:rsidRPr="007B1455">
        <w:rPr>
          <w:spacing w:val="-2"/>
          <w:szCs w:val="28"/>
        </w:rPr>
        <w:t xml:space="preserve"> rà soát</w:t>
      </w:r>
      <w:r w:rsidR="004947A6" w:rsidRPr="007B1455">
        <w:rPr>
          <w:spacing w:val="-2"/>
          <w:szCs w:val="28"/>
        </w:rPr>
        <w:t>,</w:t>
      </w:r>
      <w:r w:rsidR="00A45309" w:rsidRPr="007B1455">
        <w:rPr>
          <w:spacing w:val="-2"/>
          <w:szCs w:val="28"/>
        </w:rPr>
        <w:t xml:space="preserve"> hiện nay có 0</w:t>
      </w:r>
      <w:r w:rsidR="00361BC3" w:rsidRPr="007B1455">
        <w:rPr>
          <w:spacing w:val="-2"/>
          <w:szCs w:val="28"/>
        </w:rPr>
        <w:t>8</w:t>
      </w:r>
      <w:r w:rsidR="00A45309" w:rsidRPr="007B1455">
        <w:rPr>
          <w:spacing w:val="-2"/>
          <w:szCs w:val="28"/>
        </w:rPr>
        <w:t xml:space="preserve"> tỉnh</w:t>
      </w:r>
      <w:r w:rsidR="007B1455" w:rsidRPr="007B1455">
        <w:rPr>
          <w:spacing w:val="-2"/>
          <w:szCs w:val="28"/>
        </w:rPr>
        <w:t>, thành phố</w:t>
      </w:r>
      <w:r w:rsidR="00A45309" w:rsidRPr="007B1455">
        <w:rPr>
          <w:spacing w:val="-2"/>
          <w:szCs w:val="28"/>
        </w:rPr>
        <w:t xml:space="preserve"> đã ban hành Nghị quyết</w:t>
      </w:r>
      <w:r w:rsidR="00E07E80" w:rsidRPr="007B1455">
        <w:rPr>
          <w:spacing w:val="-2"/>
          <w:szCs w:val="28"/>
        </w:rPr>
        <w:t xml:space="preserve"> </w:t>
      </w:r>
      <w:r w:rsidR="00156256" w:rsidRPr="007B1455">
        <w:rPr>
          <w:spacing w:val="-2"/>
          <w:szCs w:val="28"/>
        </w:rPr>
        <w:t>quy định nội dung chi, mức chi tổ chức tuyển dụng, nâng ngạch, thăng hạng</w:t>
      </w:r>
      <w:r w:rsidR="00C40886" w:rsidRPr="007B1455">
        <w:rPr>
          <w:spacing w:val="-2"/>
          <w:szCs w:val="28"/>
        </w:rPr>
        <w:t xml:space="preserve"> </w:t>
      </w:r>
      <w:r w:rsidR="00E07E80" w:rsidRPr="007B1455">
        <w:rPr>
          <w:spacing w:val="-2"/>
          <w:szCs w:val="28"/>
        </w:rPr>
        <w:t>(</w:t>
      </w:r>
      <w:r w:rsidR="00361BC3" w:rsidRPr="007B1455">
        <w:rPr>
          <w:spacing w:val="-2"/>
          <w:szCs w:val="28"/>
        </w:rPr>
        <w:t xml:space="preserve">Thành phố Hồ Chí Minh, Thành phố Hà Nội, </w:t>
      </w:r>
      <w:r w:rsidR="00C40886" w:rsidRPr="007B1455">
        <w:rPr>
          <w:spacing w:val="-2"/>
          <w:szCs w:val="28"/>
        </w:rPr>
        <w:t xml:space="preserve">tỉnh </w:t>
      </w:r>
      <w:r w:rsidR="00361BC3" w:rsidRPr="007B1455">
        <w:rPr>
          <w:spacing w:val="-2"/>
          <w:szCs w:val="28"/>
        </w:rPr>
        <w:t xml:space="preserve">Sơn La, </w:t>
      </w:r>
      <w:r w:rsidR="00C40886" w:rsidRPr="007B1455">
        <w:rPr>
          <w:spacing w:val="-2"/>
          <w:szCs w:val="28"/>
        </w:rPr>
        <w:t xml:space="preserve">tỉnh </w:t>
      </w:r>
      <w:r w:rsidR="00361BC3" w:rsidRPr="007B1455">
        <w:rPr>
          <w:spacing w:val="-2"/>
          <w:szCs w:val="28"/>
        </w:rPr>
        <w:t xml:space="preserve">Lào Cai, </w:t>
      </w:r>
      <w:r w:rsidR="00C40886" w:rsidRPr="007B1455">
        <w:rPr>
          <w:spacing w:val="-2"/>
          <w:szCs w:val="28"/>
        </w:rPr>
        <w:t xml:space="preserve">tỉnh </w:t>
      </w:r>
      <w:r w:rsidR="00361BC3" w:rsidRPr="007B1455">
        <w:rPr>
          <w:spacing w:val="-2"/>
          <w:szCs w:val="28"/>
        </w:rPr>
        <w:t xml:space="preserve">Quảng Nam, </w:t>
      </w:r>
      <w:r w:rsidR="00C40886" w:rsidRPr="007B1455">
        <w:rPr>
          <w:spacing w:val="-2"/>
          <w:szCs w:val="28"/>
        </w:rPr>
        <w:t xml:space="preserve">tỉnh </w:t>
      </w:r>
      <w:r w:rsidR="00361BC3" w:rsidRPr="007B1455">
        <w:rPr>
          <w:spacing w:val="-2"/>
          <w:szCs w:val="28"/>
        </w:rPr>
        <w:t xml:space="preserve">Bình Thuận, </w:t>
      </w:r>
      <w:r w:rsidR="00C40886" w:rsidRPr="007B1455">
        <w:rPr>
          <w:spacing w:val="-2"/>
          <w:szCs w:val="28"/>
        </w:rPr>
        <w:t xml:space="preserve">tỉnh </w:t>
      </w:r>
      <w:r w:rsidR="00361BC3" w:rsidRPr="007B1455">
        <w:rPr>
          <w:spacing w:val="-2"/>
          <w:szCs w:val="28"/>
        </w:rPr>
        <w:t>Quảng Trị</w:t>
      </w:r>
      <w:r w:rsidR="00863BB1" w:rsidRPr="007B1455">
        <w:rPr>
          <w:spacing w:val="-2"/>
          <w:szCs w:val="28"/>
        </w:rPr>
        <w:t xml:space="preserve">, </w:t>
      </w:r>
      <w:r w:rsidR="00C40886" w:rsidRPr="007B1455">
        <w:rPr>
          <w:spacing w:val="-2"/>
          <w:szCs w:val="28"/>
        </w:rPr>
        <w:t xml:space="preserve">tỉnh </w:t>
      </w:r>
      <w:r w:rsidR="00863BB1" w:rsidRPr="007B1455">
        <w:rPr>
          <w:spacing w:val="-2"/>
          <w:szCs w:val="28"/>
        </w:rPr>
        <w:t>Hà Nam</w:t>
      </w:r>
      <w:r w:rsidR="00A770DC" w:rsidRPr="007B1455">
        <w:rPr>
          <w:spacing w:val="-2"/>
          <w:szCs w:val="28"/>
        </w:rPr>
        <w:t>) và</w:t>
      </w:r>
      <w:r w:rsidR="00C40886" w:rsidRPr="007B1455">
        <w:rPr>
          <w:spacing w:val="-2"/>
          <w:szCs w:val="28"/>
        </w:rPr>
        <w:t xml:space="preserve"> tỉnh</w:t>
      </w:r>
      <w:r w:rsidR="00A45309" w:rsidRPr="007B1455">
        <w:rPr>
          <w:spacing w:val="-2"/>
          <w:szCs w:val="28"/>
        </w:rPr>
        <w:t xml:space="preserve"> </w:t>
      </w:r>
      <w:r w:rsidR="008F73C9" w:rsidRPr="007B1455">
        <w:rPr>
          <w:spacing w:val="-2"/>
          <w:szCs w:val="28"/>
        </w:rPr>
        <w:t>Nam Định đang trình</w:t>
      </w:r>
      <w:r w:rsidR="00863BB1" w:rsidRPr="007B1455">
        <w:rPr>
          <w:spacing w:val="-2"/>
          <w:szCs w:val="28"/>
        </w:rPr>
        <w:t xml:space="preserve">, </w:t>
      </w:r>
      <w:r w:rsidR="00212BAF" w:rsidRPr="007B1455">
        <w:rPr>
          <w:spacing w:val="-2"/>
          <w:szCs w:val="28"/>
        </w:rPr>
        <w:t xml:space="preserve">trong đó </w:t>
      </w:r>
      <w:r w:rsidR="008F73C9" w:rsidRPr="007B1455">
        <w:rPr>
          <w:spacing w:val="-2"/>
          <w:szCs w:val="28"/>
        </w:rPr>
        <w:t>có tỉnh thực hiện hợp đồng chọn gói, phần đa các tỉnh xây dựng chi tiền hỗ trợ theo phương án nêu trên.</w:t>
      </w:r>
    </w:p>
    <w:p w14:paraId="3F7683FC" w14:textId="6C8C7455" w:rsidR="00271C87" w:rsidRPr="00043DB3" w:rsidRDefault="00321D78" w:rsidP="00043DB3">
      <w:pPr>
        <w:spacing w:before="120" w:after="120" w:line="340" w:lineRule="exact"/>
        <w:ind w:firstLine="720"/>
        <w:jc w:val="both"/>
        <w:rPr>
          <w:szCs w:val="28"/>
        </w:rPr>
      </w:pPr>
      <w:r w:rsidRPr="00043DB3">
        <w:rPr>
          <w:szCs w:val="28"/>
        </w:rPr>
        <w:t xml:space="preserve">Căn cứ </w:t>
      </w:r>
      <w:r w:rsidR="0086078A" w:rsidRPr="00043DB3">
        <w:rPr>
          <w:szCs w:val="28"/>
        </w:rPr>
        <w:t>Thông tư số 36/2018/TT-BTC ngày 30/3/2018</w:t>
      </w:r>
      <w:r w:rsidR="003A3271" w:rsidRPr="00043DB3">
        <w:rPr>
          <w:rStyle w:val="FootnoteReference"/>
          <w:szCs w:val="28"/>
        </w:rPr>
        <w:footnoteReference w:id="1"/>
      </w:r>
      <w:r w:rsidR="0086078A" w:rsidRPr="00043DB3">
        <w:rPr>
          <w:szCs w:val="28"/>
        </w:rPr>
        <w:t xml:space="preserve">, </w:t>
      </w:r>
      <w:r w:rsidR="00E11DE8" w:rsidRPr="00043DB3">
        <w:rPr>
          <w:szCs w:val="28"/>
        </w:rPr>
        <w:t>Thông tư số 69/2021/TT-BTC</w:t>
      </w:r>
      <w:r w:rsidR="0086078A" w:rsidRPr="00043DB3">
        <w:rPr>
          <w:szCs w:val="28"/>
        </w:rPr>
        <w:t xml:space="preserve"> </w:t>
      </w:r>
      <w:r w:rsidR="00915B15" w:rsidRPr="00043DB3">
        <w:rPr>
          <w:szCs w:val="28"/>
        </w:rPr>
        <w:t>ngày 11/8/2021</w:t>
      </w:r>
      <w:r w:rsidR="0086078A" w:rsidRPr="00043DB3">
        <w:rPr>
          <w:szCs w:val="28"/>
        </w:rPr>
        <w:t xml:space="preserve"> </w:t>
      </w:r>
      <w:r w:rsidR="00120C28" w:rsidRPr="00043DB3">
        <w:rPr>
          <w:szCs w:val="28"/>
        </w:rPr>
        <w:t>của Bộ Tài chính</w:t>
      </w:r>
      <w:r w:rsidR="003E20D0" w:rsidRPr="00043DB3">
        <w:rPr>
          <w:rStyle w:val="FootnoteReference"/>
          <w:szCs w:val="28"/>
        </w:rPr>
        <w:footnoteReference w:id="2"/>
      </w:r>
      <w:r w:rsidR="0086078A" w:rsidRPr="00043DB3">
        <w:rPr>
          <w:szCs w:val="28"/>
        </w:rPr>
        <w:t>;</w:t>
      </w:r>
      <w:r w:rsidR="00120C28" w:rsidRPr="00043DB3">
        <w:rPr>
          <w:szCs w:val="28"/>
        </w:rPr>
        <w:t xml:space="preserve"> </w:t>
      </w:r>
      <w:r w:rsidR="000E7D48" w:rsidRPr="00043DB3">
        <w:rPr>
          <w:szCs w:val="28"/>
        </w:rPr>
        <w:t xml:space="preserve">Nghị quyết số 21/2018/NQ-HĐND ngày 10/12/2018 của </w:t>
      </w:r>
      <w:r w:rsidR="00E830F2" w:rsidRPr="00043DB3">
        <w:rPr>
          <w:szCs w:val="28"/>
        </w:rPr>
        <w:t xml:space="preserve">Hội đồng nhân dân </w:t>
      </w:r>
      <w:r w:rsidR="000E7D48" w:rsidRPr="00043DB3">
        <w:rPr>
          <w:szCs w:val="28"/>
        </w:rPr>
        <w:t>tỉnh Bắc Kạn</w:t>
      </w:r>
      <w:r w:rsidR="00DE59D5" w:rsidRPr="00043DB3">
        <w:rPr>
          <w:rStyle w:val="FootnoteReference"/>
          <w:szCs w:val="28"/>
        </w:rPr>
        <w:footnoteReference w:id="3"/>
      </w:r>
      <w:r w:rsidR="000E7D48" w:rsidRPr="00043DB3">
        <w:rPr>
          <w:szCs w:val="28"/>
        </w:rPr>
        <w:t xml:space="preserve">; </w:t>
      </w:r>
      <w:r w:rsidRPr="00043DB3">
        <w:rPr>
          <w:szCs w:val="28"/>
        </w:rPr>
        <w:t>Nghị quyết số</w:t>
      </w:r>
      <w:r w:rsidR="00915B15" w:rsidRPr="00043DB3">
        <w:rPr>
          <w:szCs w:val="28"/>
        </w:rPr>
        <w:t xml:space="preserve"> 12/2021/NQ-HĐND ngày 07/12/2021 của Hội đồng nhân dân tỉnh Bắc Kạn</w:t>
      </w:r>
      <w:r w:rsidR="009B5F3F" w:rsidRPr="00043DB3">
        <w:rPr>
          <w:rStyle w:val="FootnoteReference"/>
          <w:szCs w:val="28"/>
        </w:rPr>
        <w:footnoteReference w:id="4"/>
      </w:r>
      <w:r w:rsidR="00915B15" w:rsidRPr="00043DB3">
        <w:rPr>
          <w:szCs w:val="28"/>
        </w:rPr>
        <w:t xml:space="preserve"> </w:t>
      </w:r>
      <w:r w:rsidR="00E11DE8" w:rsidRPr="00043DB3">
        <w:rPr>
          <w:szCs w:val="28"/>
        </w:rPr>
        <w:t xml:space="preserve">và tình hình thực tế của </w:t>
      </w:r>
      <w:r w:rsidR="00F44E08" w:rsidRPr="00043DB3">
        <w:rPr>
          <w:szCs w:val="28"/>
        </w:rPr>
        <w:t>địa phương</w:t>
      </w:r>
      <w:r w:rsidR="00E11DE8" w:rsidRPr="00043DB3">
        <w:rPr>
          <w:szCs w:val="28"/>
        </w:rPr>
        <w:t xml:space="preserve">, </w:t>
      </w:r>
      <w:r w:rsidR="000F1B8D" w:rsidRPr="00043DB3">
        <w:rPr>
          <w:szCs w:val="28"/>
        </w:rPr>
        <w:t>Ủy ban nhân dân tỉnh xây dựng</w:t>
      </w:r>
      <w:r w:rsidR="00E11DE8" w:rsidRPr="00043DB3">
        <w:rPr>
          <w:szCs w:val="28"/>
        </w:rPr>
        <w:t xml:space="preserve"> quy định cụ thể </w:t>
      </w:r>
      <w:r w:rsidR="00E11DE8" w:rsidRPr="00043DB3">
        <w:rPr>
          <w:bCs/>
          <w:szCs w:val="28"/>
        </w:rPr>
        <w:t>nội dung</w:t>
      </w:r>
      <w:r w:rsidR="00D33E61" w:rsidRPr="00043DB3">
        <w:rPr>
          <w:bCs/>
          <w:szCs w:val="28"/>
        </w:rPr>
        <w:t xml:space="preserve"> chi</w:t>
      </w:r>
      <w:r w:rsidR="00E11DE8" w:rsidRPr="00043DB3">
        <w:rPr>
          <w:bCs/>
          <w:szCs w:val="28"/>
        </w:rPr>
        <w:t xml:space="preserve">, mức chi </w:t>
      </w:r>
      <w:r w:rsidR="00E11DE8" w:rsidRPr="00043DB3">
        <w:rPr>
          <w:szCs w:val="28"/>
        </w:rPr>
        <w:t xml:space="preserve">cho từng chức danh là thành viên </w:t>
      </w:r>
      <w:r w:rsidR="007A4B62" w:rsidRPr="00043DB3">
        <w:rPr>
          <w:szCs w:val="28"/>
        </w:rPr>
        <w:t xml:space="preserve">Hội đồng và thành viên các Ban giúp việc của Hội đồng trong </w:t>
      </w:r>
      <w:r w:rsidR="00E11DE8" w:rsidRPr="00043DB3">
        <w:rPr>
          <w:szCs w:val="28"/>
        </w:rPr>
        <w:t xml:space="preserve">thực hiện các nhiệm vụ </w:t>
      </w:r>
      <w:r w:rsidR="007B3E71" w:rsidRPr="00043DB3">
        <w:rPr>
          <w:szCs w:val="28"/>
        </w:rPr>
        <w:t>tuyển dụng, nâng ngạch, thăng hạng</w:t>
      </w:r>
      <w:r w:rsidR="00045A7E" w:rsidRPr="00043DB3">
        <w:rPr>
          <w:szCs w:val="28"/>
        </w:rPr>
        <w:t xml:space="preserve"> </w:t>
      </w:r>
      <w:r w:rsidR="00207E52" w:rsidRPr="00043DB3">
        <w:rPr>
          <w:szCs w:val="28"/>
        </w:rPr>
        <w:t>theo quy định tại Nghị định số 138/2020/NĐ-CP ngày 27/11/2020 và Nghị định số 115/2020/NĐ-CP ngày 25/9/2020 của Chính phủ và Thông tư số 06/2020/TT-BNV ngày 02/12/2020 của Bộ trưởng Bộ Nội vụ</w:t>
      </w:r>
      <w:r w:rsidR="00817E1A" w:rsidRPr="00043DB3">
        <w:rPr>
          <w:szCs w:val="28"/>
        </w:rPr>
        <w:t xml:space="preserve"> </w:t>
      </w:r>
      <w:r w:rsidR="004D2F33" w:rsidRPr="00043DB3">
        <w:rPr>
          <w:szCs w:val="28"/>
        </w:rPr>
        <w:t>(</w:t>
      </w:r>
      <w:r w:rsidR="00817E1A" w:rsidRPr="00043DB3">
        <w:rPr>
          <w:szCs w:val="28"/>
        </w:rPr>
        <w:t xml:space="preserve">Hội đồng và các ban giúp việc: </w:t>
      </w:r>
      <w:r w:rsidR="004D2F33" w:rsidRPr="00043DB3">
        <w:rPr>
          <w:szCs w:val="28"/>
        </w:rPr>
        <w:t>Ban đề, Ban coi, Ban phách, Ban chấm, Ban kiểm tra phiếu</w:t>
      </w:r>
      <w:r w:rsidR="00BD0445" w:rsidRPr="00043DB3">
        <w:rPr>
          <w:szCs w:val="28"/>
        </w:rPr>
        <w:t xml:space="preserve"> đăng ký dự tuyển</w:t>
      </w:r>
      <w:r w:rsidR="009B3B5E" w:rsidRPr="00043DB3">
        <w:rPr>
          <w:szCs w:val="28"/>
        </w:rPr>
        <w:t>;</w:t>
      </w:r>
      <w:r w:rsidR="00817E1A" w:rsidRPr="00043DB3">
        <w:rPr>
          <w:szCs w:val="28"/>
        </w:rPr>
        <w:t xml:space="preserve"> Ban giám sát,</w:t>
      </w:r>
      <w:r w:rsidR="009B3B5E" w:rsidRPr="00043DB3">
        <w:rPr>
          <w:szCs w:val="28"/>
        </w:rPr>
        <w:t>…)</w:t>
      </w:r>
      <w:r w:rsidR="004D2F33" w:rsidRPr="00043DB3">
        <w:rPr>
          <w:szCs w:val="28"/>
        </w:rPr>
        <w:t>.</w:t>
      </w:r>
    </w:p>
    <w:p w14:paraId="67F3B25C" w14:textId="2AA497E4" w:rsidR="0068304A" w:rsidRPr="00043DB3" w:rsidRDefault="003C5F12" w:rsidP="00043DB3">
      <w:pPr>
        <w:spacing w:before="120" w:after="120" w:line="340" w:lineRule="exact"/>
        <w:ind w:firstLine="720"/>
        <w:jc w:val="both"/>
        <w:rPr>
          <w:color w:val="000000" w:themeColor="text1"/>
          <w:szCs w:val="28"/>
          <w:lang w:val="nb-NO"/>
        </w:rPr>
      </w:pPr>
      <w:r w:rsidRPr="00043DB3">
        <w:rPr>
          <w:szCs w:val="28"/>
        </w:rPr>
        <w:t>Hiện nay, theo phân cấp quản lý của Bộ quản lý ngành</w:t>
      </w:r>
      <w:r w:rsidR="003F5C56" w:rsidRPr="00043DB3">
        <w:rPr>
          <w:szCs w:val="28"/>
        </w:rPr>
        <w:t>,</w:t>
      </w:r>
      <w:r w:rsidRPr="00043DB3">
        <w:rPr>
          <w:szCs w:val="28"/>
        </w:rPr>
        <w:t xml:space="preserve"> lĩnh vực và địa phương thì công tác tuyển dụng được phân cấp như sau: </w:t>
      </w:r>
      <w:r w:rsidR="00EB73F7" w:rsidRPr="00043DB3">
        <w:rPr>
          <w:szCs w:val="28"/>
        </w:rPr>
        <w:t>Ủy ban nhân dân tỉnh tổ chức tuyển dụng</w:t>
      </w:r>
      <w:r w:rsidR="007D599A" w:rsidRPr="00043DB3">
        <w:rPr>
          <w:szCs w:val="28"/>
        </w:rPr>
        <w:t>, nâng ngạch</w:t>
      </w:r>
      <w:r w:rsidR="00EB73F7" w:rsidRPr="00043DB3">
        <w:rPr>
          <w:szCs w:val="28"/>
        </w:rPr>
        <w:t xml:space="preserve"> công chức</w:t>
      </w:r>
      <w:r w:rsidR="007D599A" w:rsidRPr="00043DB3">
        <w:rPr>
          <w:szCs w:val="28"/>
        </w:rPr>
        <w:t>, thăng hạng viên chức từ hạng III lên hạng II</w:t>
      </w:r>
      <w:r w:rsidR="00EB73F7" w:rsidRPr="00043DB3">
        <w:rPr>
          <w:szCs w:val="28"/>
        </w:rPr>
        <w:t xml:space="preserve"> cho các cơ quan, đơn vị, địa phương</w:t>
      </w:r>
      <w:r w:rsidR="00755AFB" w:rsidRPr="00043DB3">
        <w:rPr>
          <w:szCs w:val="28"/>
        </w:rPr>
        <w:t xml:space="preserve"> </w:t>
      </w:r>
      <w:r w:rsidR="00EB73F7" w:rsidRPr="00043DB3">
        <w:rPr>
          <w:szCs w:val="28"/>
        </w:rPr>
        <w:t>trên phạm vi toàn tỉnh; các sở, ban, ngành, Ủy ban nhân dân cấp huyện, các đơn vị sự nghiệp công lập thuộc Ủy ban nhân dân tỉnh, các tổ chức hội được giao biên chế tổ chức tuyển dụng viên chức</w:t>
      </w:r>
      <w:r w:rsidR="00755AFB" w:rsidRPr="00043DB3">
        <w:rPr>
          <w:szCs w:val="28"/>
        </w:rPr>
        <w:t>, thăng hạng viên chức thuộc thẩm quyền quản lý; Ủy ban nhân dân cấp huyện tổ chức tuyển dụng công chức cấp xã.</w:t>
      </w:r>
      <w:r w:rsidR="00425F8C" w:rsidRPr="00043DB3">
        <w:rPr>
          <w:szCs w:val="28"/>
        </w:rPr>
        <w:t xml:space="preserve"> Về quy mô tổ chức thực hiện các quy trình tuyển dụng, nâng ngạch, thăng hạng giữa cấp tỉnh và cấp huyện là khác nhau. Tuy nhiên, </w:t>
      </w:r>
      <w:r w:rsidR="008A193C" w:rsidRPr="00043DB3">
        <w:rPr>
          <w:szCs w:val="28"/>
        </w:rPr>
        <w:t>về quy trình tổ chức thực hiện</w:t>
      </w:r>
      <w:r w:rsidR="00197A06" w:rsidRPr="00043DB3">
        <w:rPr>
          <w:szCs w:val="28"/>
        </w:rPr>
        <w:t>, nhiệm vụ của các Hội đồng</w:t>
      </w:r>
      <w:r w:rsidR="00BA4A70" w:rsidRPr="00043DB3">
        <w:rPr>
          <w:szCs w:val="28"/>
        </w:rPr>
        <w:t>, các Ban giúp việc của Hội đồng cấp tỉnh, cấp huyện</w:t>
      </w:r>
      <w:r w:rsidR="00AB5031" w:rsidRPr="00043DB3">
        <w:rPr>
          <w:szCs w:val="28"/>
        </w:rPr>
        <w:t xml:space="preserve"> </w:t>
      </w:r>
      <w:r w:rsidR="00385E87" w:rsidRPr="00043DB3">
        <w:rPr>
          <w:szCs w:val="28"/>
        </w:rPr>
        <w:t xml:space="preserve">đều phải thực hiện </w:t>
      </w:r>
      <w:r w:rsidR="00BB6F0C" w:rsidRPr="00043DB3">
        <w:rPr>
          <w:szCs w:val="28"/>
        </w:rPr>
        <w:t xml:space="preserve">theo </w:t>
      </w:r>
      <w:r w:rsidR="00385E87" w:rsidRPr="00043DB3">
        <w:rPr>
          <w:iCs/>
          <w:color w:val="000000"/>
          <w:szCs w:val="28"/>
          <w:lang w:val="nb-NO"/>
        </w:rPr>
        <w:t xml:space="preserve">quy chế do Bộ Nội vụ và </w:t>
      </w:r>
      <w:r w:rsidR="00AB5031" w:rsidRPr="00043DB3">
        <w:rPr>
          <w:iCs/>
          <w:color w:val="000000"/>
          <w:szCs w:val="28"/>
          <w:lang w:val="nb-NO"/>
        </w:rPr>
        <w:t>Ủy ban nhân dân</w:t>
      </w:r>
      <w:r w:rsidR="00385E87" w:rsidRPr="00043DB3">
        <w:rPr>
          <w:iCs/>
          <w:color w:val="000000"/>
          <w:szCs w:val="28"/>
          <w:lang w:val="nb-NO"/>
        </w:rPr>
        <w:t xml:space="preserve"> tỉnh ban hành</w:t>
      </w:r>
      <w:r w:rsidR="00AB5031" w:rsidRPr="00043DB3">
        <w:rPr>
          <w:iCs/>
          <w:color w:val="000000"/>
          <w:szCs w:val="28"/>
          <w:lang w:val="nb-NO"/>
        </w:rPr>
        <w:t xml:space="preserve"> </w:t>
      </w:r>
      <w:r w:rsidR="00065521" w:rsidRPr="00043DB3">
        <w:rPr>
          <w:iCs/>
          <w:color w:val="000000"/>
          <w:szCs w:val="28"/>
          <w:lang w:val="nb-NO"/>
        </w:rPr>
        <w:t>(</w:t>
      </w:r>
      <w:r w:rsidR="00074631" w:rsidRPr="00043DB3">
        <w:rPr>
          <w:bCs/>
          <w:szCs w:val="28"/>
        </w:rPr>
        <w:t xml:space="preserve">Quy chế tổ chức tuyển dụng, nâng ngạch, thăng hạng </w:t>
      </w:r>
      <w:r w:rsidR="00FD5578" w:rsidRPr="00043DB3">
        <w:rPr>
          <w:bCs/>
          <w:color w:val="000000" w:themeColor="text1"/>
          <w:szCs w:val="28"/>
        </w:rPr>
        <w:t xml:space="preserve">ban </w:t>
      </w:r>
      <w:r w:rsidR="00FD5578" w:rsidRPr="00043DB3">
        <w:rPr>
          <w:bCs/>
          <w:color w:val="000000" w:themeColor="text1"/>
          <w:szCs w:val="28"/>
        </w:rPr>
        <w:lastRenderedPageBreak/>
        <w:t>hành kèm theo</w:t>
      </w:r>
      <w:r w:rsidR="003F5C56" w:rsidRPr="00043DB3">
        <w:rPr>
          <w:bCs/>
          <w:color w:val="000000" w:themeColor="text1"/>
          <w:szCs w:val="28"/>
        </w:rPr>
        <w:t xml:space="preserve"> </w:t>
      </w:r>
      <w:r w:rsidR="00074631" w:rsidRPr="00043DB3">
        <w:rPr>
          <w:iCs/>
          <w:color w:val="000000" w:themeColor="text1"/>
          <w:szCs w:val="28"/>
          <w:lang w:val="nb-NO"/>
        </w:rPr>
        <w:t xml:space="preserve">Thông </w:t>
      </w:r>
      <w:r w:rsidR="00074631" w:rsidRPr="00043DB3">
        <w:rPr>
          <w:iCs/>
          <w:color w:val="000000"/>
          <w:szCs w:val="28"/>
          <w:lang w:val="nb-NO"/>
        </w:rPr>
        <w:t xml:space="preserve">tư số 06/2020/TT-BNV ngày 02/12/2020 của Bộ trưởng Bộ Nội vụ và Quyết định số 08/2021/QĐ-UBND ngày 16/6/2021 của </w:t>
      </w:r>
      <w:r w:rsidR="007F2973" w:rsidRPr="00043DB3">
        <w:rPr>
          <w:iCs/>
          <w:color w:val="000000"/>
          <w:szCs w:val="28"/>
          <w:lang w:val="nb-NO"/>
        </w:rPr>
        <w:t xml:space="preserve">Ủy ban nhân dân </w:t>
      </w:r>
      <w:r w:rsidR="00074631" w:rsidRPr="00043DB3">
        <w:rPr>
          <w:iCs/>
          <w:color w:val="000000"/>
          <w:szCs w:val="28"/>
          <w:lang w:val="nb-NO"/>
        </w:rPr>
        <w:t>tỉnh</w:t>
      </w:r>
      <w:r w:rsidR="00BB6F0C" w:rsidRPr="00043DB3">
        <w:rPr>
          <w:iCs/>
          <w:color w:val="000000"/>
          <w:szCs w:val="28"/>
          <w:lang w:val="nb-NO"/>
        </w:rPr>
        <w:t xml:space="preserve"> về</w:t>
      </w:r>
      <w:bookmarkStart w:id="0" w:name="loai_1_name"/>
      <w:r w:rsidR="00BB3C70" w:rsidRPr="00043DB3">
        <w:rPr>
          <w:iCs/>
          <w:color w:val="000000"/>
          <w:szCs w:val="28"/>
          <w:lang w:val="nb-NO"/>
        </w:rPr>
        <w:t xml:space="preserve"> ban hành quy chế tuyển dụng công chức xã, phường, thị trấn)</w:t>
      </w:r>
      <w:bookmarkEnd w:id="0"/>
      <w:r w:rsidR="00263CC7" w:rsidRPr="00043DB3">
        <w:rPr>
          <w:iCs/>
          <w:color w:val="000000"/>
          <w:szCs w:val="28"/>
          <w:lang w:val="nb-NO"/>
        </w:rPr>
        <w:t>.</w:t>
      </w:r>
      <w:r w:rsidR="00074631" w:rsidRPr="00043DB3">
        <w:rPr>
          <w:iCs/>
          <w:color w:val="000000"/>
          <w:szCs w:val="28"/>
          <w:lang w:val="nb-NO"/>
        </w:rPr>
        <w:t xml:space="preserve"> Theo đó, Hội đồng</w:t>
      </w:r>
      <w:r w:rsidR="00F35542" w:rsidRPr="00043DB3">
        <w:rPr>
          <w:iCs/>
          <w:color w:val="000000"/>
          <w:szCs w:val="28"/>
          <w:lang w:val="nb-NO"/>
        </w:rPr>
        <w:t xml:space="preserve"> và các </w:t>
      </w:r>
      <w:r w:rsidR="00263CC7" w:rsidRPr="00043DB3">
        <w:rPr>
          <w:iCs/>
          <w:color w:val="000000"/>
          <w:szCs w:val="28"/>
          <w:lang w:val="nb-NO"/>
        </w:rPr>
        <w:t xml:space="preserve">Ban </w:t>
      </w:r>
      <w:r w:rsidR="00F35542" w:rsidRPr="00043DB3">
        <w:rPr>
          <w:iCs/>
          <w:color w:val="000000"/>
          <w:szCs w:val="28"/>
          <w:lang w:val="nb-NO"/>
        </w:rPr>
        <w:t xml:space="preserve">của Hội đồng </w:t>
      </w:r>
      <w:r w:rsidR="00263CC7" w:rsidRPr="00043DB3">
        <w:rPr>
          <w:iCs/>
          <w:color w:val="000000"/>
          <w:szCs w:val="28"/>
          <w:lang w:val="nb-NO"/>
        </w:rPr>
        <w:t>tuyển dụng, nâng ngạch, thăng hạng</w:t>
      </w:r>
      <w:r w:rsidR="006F1ACD" w:rsidRPr="00043DB3">
        <w:rPr>
          <w:iCs/>
          <w:color w:val="000000"/>
          <w:szCs w:val="28"/>
          <w:lang w:val="nb-NO"/>
        </w:rPr>
        <w:t xml:space="preserve"> đều</w:t>
      </w:r>
      <w:r w:rsidR="00263CC7" w:rsidRPr="00043DB3">
        <w:rPr>
          <w:iCs/>
          <w:color w:val="000000"/>
          <w:szCs w:val="28"/>
          <w:lang w:val="nb-NO"/>
        </w:rPr>
        <w:t xml:space="preserve"> </w:t>
      </w:r>
      <w:r w:rsidR="00E41BC6" w:rsidRPr="00043DB3">
        <w:rPr>
          <w:iCs/>
          <w:color w:val="000000"/>
          <w:szCs w:val="28"/>
          <w:lang w:val="nb-NO"/>
        </w:rPr>
        <w:t>thực hiện các quy trình</w:t>
      </w:r>
      <w:r w:rsidR="006F1ACD" w:rsidRPr="00043DB3">
        <w:rPr>
          <w:iCs/>
          <w:color w:val="000000"/>
          <w:szCs w:val="28"/>
          <w:lang w:val="nb-NO"/>
        </w:rPr>
        <w:t xml:space="preserve"> </w:t>
      </w:r>
      <w:r w:rsidR="001B1102" w:rsidRPr="00043DB3">
        <w:rPr>
          <w:iCs/>
          <w:color w:val="000000"/>
          <w:szCs w:val="28"/>
          <w:lang w:val="nb-NO"/>
        </w:rPr>
        <w:t xml:space="preserve">giống nhau </w:t>
      </w:r>
      <w:r w:rsidR="006F1ACD" w:rsidRPr="00043DB3">
        <w:rPr>
          <w:iCs/>
          <w:color w:val="000000"/>
          <w:szCs w:val="28"/>
          <w:lang w:val="nb-NO"/>
        </w:rPr>
        <w:t>theo Thông tư</w:t>
      </w:r>
      <w:r w:rsidR="00B95574" w:rsidRPr="00043DB3">
        <w:rPr>
          <w:iCs/>
          <w:color w:val="000000"/>
          <w:szCs w:val="28"/>
          <w:lang w:val="nb-NO"/>
        </w:rPr>
        <w:t xml:space="preserve"> và Quy chế nêu trên.</w:t>
      </w:r>
      <w:r w:rsidR="006F1ACD" w:rsidRPr="00043DB3">
        <w:rPr>
          <w:iCs/>
          <w:color w:val="000000"/>
          <w:szCs w:val="28"/>
          <w:lang w:val="nb-NO"/>
        </w:rPr>
        <w:t xml:space="preserve"> </w:t>
      </w:r>
      <w:r w:rsidR="00B95574" w:rsidRPr="00043DB3">
        <w:rPr>
          <w:iCs/>
          <w:color w:val="000000"/>
          <w:szCs w:val="28"/>
          <w:lang w:val="nb-NO"/>
        </w:rPr>
        <w:t>D</w:t>
      </w:r>
      <w:r w:rsidR="00074631" w:rsidRPr="00043DB3">
        <w:rPr>
          <w:iCs/>
          <w:color w:val="000000"/>
          <w:szCs w:val="28"/>
          <w:lang w:val="nb-NO"/>
        </w:rPr>
        <w:t xml:space="preserve">o vậy, </w:t>
      </w:r>
      <w:r w:rsidR="00E20509" w:rsidRPr="00043DB3">
        <w:rPr>
          <w:iCs/>
          <w:color w:val="000000"/>
          <w:szCs w:val="28"/>
          <w:lang w:val="nb-NO"/>
        </w:rPr>
        <w:t xml:space="preserve">Ủy ban nhân dân tỉnh </w:t>
      </w:r>
      <w:r w:rsidR="00074631" w:rsidRPr="00043DB3">
        <w:rPr>
          <w:szCs w:val="28"/>
        </w:rPr>
        <w:t>đề xuất nội dung</w:t>
      </w:r>
      <w:r w:rsidR="00E20509" w:rsidRPr="00043DB3">
        <w:rPr>
          <w:szCs w:val="28"/>
        </w:rPr>
        <w:t xml:space="preserve"> chi</w:t>
      </w:r>
      <w:r w:rsidR="00074631" w:rsidRPr="00043DB3">
        <w:rPr>
          <w:szCs w:val="28"/>
        </w:rPr>
        <w:t xml:space="preserve">, mức chi </w:t>
      </w:r>
      <w:r w:rsidR="005F6A7D" w:rsidRPr="00043DB3">
        <w:rPr>
          <w:szCs w:val="28"/>
        </w:rPr>
        <w:t xml:space="preserve">chung </w:t>
      </w:r>
      <w:r w:rsidR="00F22C36" w:rsidRPr="00043DB3">
        <w:rPr>
          <w:szCs w:val="28"/>
        </w:rPr>
        <w:t xml:space="preserve">cho cấp tỉnh, cấp huyện </w:t>
      </w:r>
      <w:r w:rsidR="00E20509" w:rsidRPr="00043DB3">
        <w:rPr>
          <w:szCs w:val="28"/>
        </w:rPr>
        <w:t>tại dự thảo Nghị quyết</w:t>
      </w:r>
      <w:r w:rsidR="001B1102" w:rsidRPr="00043DB3">
        <w:rPr>
          <w:szCs w:val="28"/>
        </w:rPr>
        <w:t>, không tách riêng nội dung chi, mức chi</w:t>
      </w:r>
      <w:r w:rsidR="00074631" w:rsidRPr="00043DB3">
        <w:rPr>
          <w:szCs w:val="28"/>
        </w:rPr>
        <w:t xml:space="preserve"> cho các kỳ tuyển dụng, nâng ngạch, thăng hạng </w:t>
      </w:r>
      <w:r w:rsidR="003F5C56" w:rsidRPr="00043DB3">
        <w:rPr>
          <w:szCs w:val="28"/>
        </w:rPr>
        <w:t xml:space="preserve">theo </w:t>
      </w:r>
      <w:r w:rsidR="00F22C36" w:rsidRPr="00043DB3">
        <w:rPr>
          <w:szCs w:val="28"/>
        </w:rPr>
        <w:t>từng cấp</w:t>
      </w:r>
      <w:r w:rsidR="00074631" w:rsidRPr="00043DB3">
        <w:rPr>
          <w:szCs w:val="28"/>
        </w:rPr>
        <w:t>.</w:t>
      </w:r>
      <w:r w:rsidR="00837668" w:rsidRPr="00043DB3">
        <w:rPr>
          <w:szCs w:val="28"/>
        </w:rPr>
        <w:t xml:space="preserve"> </w:t>
      </w:r>
      <w:r w:rsidR="00E87534" w:rsidRPr="00043DB3">
        <w:rPr>
          <w:szCs w:val="28"/>
        </w:rPr>
        <w:t xml:space="preserve">Nguồn kinh phí </w:t>
      </w:r>
      <w:r w:rsidR="00F97A69" w:rsidRPr="00043DB3">
        <w:rPr>
          <w:color w:val="000000"/>
          <w:szCs w:val="28"/>
          <w:lang w:val="nb-NO"/>
        </w:rPr>
        <w:t xml:space="preserve">do ngân sách địa phương </w:t>
      </w:r>
      <w:r w:rsidR="00F97A69" w:rsidRPr="00043DB3">
        <w:rPr>
          <w:color w:val="000000" w:themeColor="text1"/>
          <w:szCs w:val="28"/>
          <w:lang w:val="nb-NO"/>
        </w:rPr>
        <w:t xml:space="preserve">bảo đảm theo phân cấp ngân sách hiện hành </w:t>
      </w:r>
      <w:r w:rsidR="00900B06" w:rsidRPr="00043DB3">
        <w:rPr>
          <w:color w:val="000000" w:themeColor="text1"/>
          <w:szCs w:val="28"/>
          <w:lang w:val="nb-NO"/>
        </w:rPr>
        <w:t xml:space="preserve">hoặc từ nguồn chi thường xuyên của đơn vị </w:t>
      </w:r>
      <w:r w:rsidR="00F97A69" w:rsidRPr="00043DB3">
        <w:rPr>
          <w:color w:val="000000" w:themeColor="text1"/>
          <w:szCs w:val="28"/>
          <w:lang w:val="nb-NO"/>
        </w:rPr>
        <w:t xml:space="preserve">sau khi trừ nguồn thu phí để lại </w:t>
      </w:r>
      <w:r w:rsidR="00D902ED" w:rsidRPr="00043DB3">
        <w:rPr>
          <w:color w:val="000000" w:themeColor="text1"/>
          <w:szCs w:val="28"/>
          <w:lang w:val="nb-NO"/>
        </w:rPr>
        <w:t xml:space="preserve">và các nguồn hợp pháp khác </w:t>
      </w:r>
      <w:r w:rsidR="00F97A69" w:rsidRPr="00043DB3">
        <w:rPr>
          <w:color w:val="000000" w:themeColor="text1"/>
          <w:szCs w:val="28"/>
          <w:lang w:val="nb-NO"/>
        </w:rPr>
        <w:t>theo quy định</w:t>
      </w:r>
      <w:r w:rsidR="0068304A" w:rsidRPr="00043DB3">
        <w:rPr>
          <w:color w:val="000000" w:themeColor="text1"/>
          <w:szCs w:val="28"/>
          <w:lang w:val="nb-NO"/>
        </w:rPr>
        <w:t>.</w:t>
      </w:r>
    </w:p>
    <w:p w14:paraId="55B6502A" w14:textId="0CA5E9A7" w:rsidR="00074631" w:rsidRPr="00043DB3" w:rsidRDefault="00491BC6" w:rsidP="00043DB3">
      <w:pPr>
        <w:spacing w:before="120" w:after="120" w:line="340" w:lineRule="exact"/>
        <w:ind w:firstLine="720"/>
        <w:jc w:val="both"/>
        <w:rPr>
          <w:szCs w:val="28"/>
        </w:rPr>
      </w:pPr>
      <w:r w:rsidRPr="00043DB3">
        <w:rPr>
          <w:szCs w:val="28"/>
        </w:rPr>
        <w:t xml:space="preserve">Dự kiến </w:t>
      </w:r>
      <w:r w:rsidR="008937C5" w:rsidRPr="00043DB3">
        <w:rPr>
          <w:szCs w:val="28"/>
        </w:rPr>
        <w:t xml:space="preserve">nội dung chi, </w:t>
      </w:r>
      <w:r w:rsidR="001B2C10" w:rsidRPr="00043DB3">
        <w:rPr>
          <w:szCs w:val="28"/>
        </w:rPr>
        <w:t xml:space="preserve">mức chi mới </w:t>
      </w:r>
      <w:r w:rsidR="00260151" w:rsidRPr="00043DB3">
        <w:rPr>
          <w:szCs w:val="28"/>
        </w:rPr>
        <w:t xml:space="preserve">tại dự thảo Nghị quyết </w:t>
      </w:r>
      <w:r w:rsidR="001B2C10" w:rsidRPr="00043DB3">
        <w:rPr>
          <w:szCs w:val="28"/>
        </w:rPr>
        <w:t xml:space="preserve">cơ bản đều tăng so với mức chi đã áp dụng tại Quyết định </w:t>
      </w:r>
      <w:r w:rsidR="00EC251A">
        <w:rPr>
          <w:szCs w:val="28"/>
        </w:rPr>
        <w:t xml:space="preserve">số </w:t>
      </w:r>
      <w:r w:rsidR="001B2C10" w:rsidRPr="00043DB3">
        <w:rPr>
          <w:szCs w:val="28"/>
        </w:rPr>
        <w:t>23</w:t>
      </w:r>
      <w:r w:rsidR="00F261D7" w:rsidRPr="00043DB3">
        <w:rPr>
          <w:szCs w:val="28"/>
        </w:rPr>
        <w:t>3</w:t>
      </w:r>
      <w:r w:rsidR="001B2C10" w:rsidRPr="00043DB3">
        <w:rPr>
          <w:szCs w:val="28"/>
        </w:rPr>
        <w:t>8/2012/QĐ-UBND. Lý do:</w:t>
      </w:r>
    </w:p>
    <w:p w14:paraId="377B6396" w14:textId="238A6E50" w:rsidR="007A0776" w:rsidRPr="00043DB3" w:rsidRDefault="00AE42BA" w:rsidP="00043DB3">
      <w:pPr>
        <w:widowControl w:val="0"/>
        <w:spacing w:before="120" w:after="120" w:line="340" w:lineRule="exact"/>
        <w:ind w:right="-29" w:firstLine="720"/>
        <w:jc w:val="both"/>
        <w:rPr>
          <w:szCs w:val="28"/>
        </w:rPr>
      </w:pPr>
      <w:r w:rsidRPr="00043DB3">
        <w:rPr>
          <w:szCs w:val="28"/>
        </w:rPr>
        <w:t>M</w:t>
      </w:r>
      <w:r w:rsidR="004B02DC" w:rsidRPr="00043DB3">
        <w:rPr>
          <w:szCs w:val="28"/>
        </w:rPr>
        <w:t>ức chi</w:t>
      </w:r>
      <w:r w:rsidRPr="00043DB3">
        <w:rPr>
          <w:szCs w:val="28"/>
        </w:rPr>
        <w:t xml:space="preserve"> </w:t>
      </w:r>
      <w:r w:rsidR="004B02DC" w:rsidRPr="00043DB3">
        <w:rPr>
          <w:szCs w:val="28"/>
        </w:rPr>
        <w:t xml:space="preserve">các kỳ tuyển dụng, nâng ngạch, thăng hạng giai đoạn </w:t>
      </w:r>
      <w:r w:rsidR="001B4AD7" w:rsidRPr="00043DB3">
        <w:rPr>
          <w:szCs w:val="28"/>
        </w:rPr>
        <w:t>2019</w:t>
      </w:r>
      <w:r w:rsidR="00EC251A">
        <w:rPr>
          <w:szCs w:val="28"/>
        </w:rPr>
        <w:t>-</w:t>
      </w:r>
      <w:r w:rsidR="004B02DC" w:rsidRPr="00043DB3">
        <w:rPr>
          <w:szCs w:val="28"/>
        </w:rPr>
        <w:t xml:space="preserve">2021 </w:t>
      </w:r>
      <w:r w:rsidRPr="00043DB3">
        <w:rPr>
          <w:szCs w:val="28"/>
        </w:rPr>
        <w:t xml:space="preserve">đều </w:t>
      </w:r>
      <w:r w:rsidR="004B02DC" w:rsidRPr="00043DB3">
        <w:rPr>
          <w:szCs w:val="28"/>
        </w:rPr>
        <w:t xml:space="preserve">vận dụng theo quy định tại Quyết định số 2338/2012/QĐ-UBND (có hiệu lực từ ngày 10/01/2013). </w:t>
      </w:r>
      <w:r w:rsidR="00B272C2" w:rsidRPr="00043DB3">
        <w:rPr>
          <w:szCs w:val="28"/>
        </w:rPr>
        <w:t>Tuy nhiên, h</w:t>
      </w:r>
      <w:r w:rsidR="001B4AD7" w:rsidRPr="00043DB3">
        <w:rPr>
          <w:szCs w:val="28"/>
        </w:rPr>
        <w:t>iện nay</w:t>
      </w:r>
      <w:r w:rsidR="004B02DC" w:rsidRPr="00043DB3">
        <w:rPr>
          <w:szCs w:val="28"/>
        </w:rPr>
        <w:t xml:space="preserve"> mức tiền công này đã không còn phù hợp do chính sách tiền lương đối với công chức, viên chức nhà nước đã nhiều lần thay đổi theo chiều hướng tăng lên; giá cả thị trường các mặt hàng thiết yếu đều tăng; </w:t>
      </w:r>
      <w:r w:rsidR="00372796" w:rsidRPr="00043DB3">
        <w:rPr>
          <w:szCs w:val="28"/>
        </w:rPr>
        <w:t xml:space="preserve">nội dung của các đề thi ngày càng đòi hỏi phải được nâng cao để tương </w:t>
      </w:r>
      <w:r w:rsidR="00F12318" w:rsidRPr="00043DB3">
        <w:rPr>
          <w:szCs w:val="28"/>
        </w:rPr>
        <w:t>ứng</w:t>
      </w:r>
      <w:r w:rsidR="00372796" w:rsidRPr="00043DB3">
        <w:rPr>
          <w:szCs w:val="28"/>
        </w:rPr>
        <w:t xml:space="preserve"> với </w:t>
      </w:r>
      <w:r w:rsidR="00F12318" w:rsidRPr="00043DB3">
        <w:rPr>
          <w:szCs w:val="28"/>
        </w:rPr>
        <w:t>vị trí việc làm của từng cơ quan, đơn vị, địa phương;</w:t>
      </w:r>
      <w:r w:rsidR="00372796" w:rsidRPr="00043DB3">
        <w:rPr>
          <w:szCs w:val="28"/>
        </w:rPr>
        <w:t xml:space="preserve"> khối lượng công việc </w:t>
      </w:r>
      <w:r w:rsidR="008538D9" w:rsidRPr="00043DB3">
        <w:rPr>
          <w:szCs w:val="28"/>
        </w:rPr>
        <w:t xml:space="preserve">thực hiện các quy trình tuyển dụng, nâng ngạch, thăng hạng </w:t>
      </w:r>
      <w:r w:rsidR="00372796" w:rsidRPr="00043DB3">
        <w:rPr>
          <w:szCs w:val="28"/>
        </w:rPr>
        <w:t>ngày càng lớn, khó và phức tạp</w:t>
      </w:r>
      <w:r w:rsidR="00A83FFE" w:rsidRPr="00043DB3">
        <w:rPr>
          <w:szCs w:val="28"/>
        </w:rPr>
        <w:t xml:space="preserve">, do đó </w:t>
      </w:r>
      <w:r w:rsidR="00F44369" w:rsidRPr="00043DB3">
        <w:rPr>
          <w:szCs w:val="28"/>
        </w:rPr>
        <w:t xml:space="preserve">các nội dung chi, mức chi phải được tăng lên để bảo đảm phù hợp với </w:t>
      </w:r>
      <w:r w:rsidR="00F150FD" w:rsidRPr="00043DB3">
        <w:rPr>
          <w:szCs w:val="28"/>
        </w:rPr>
        <w:t>tính chất, mức độ công việc</w:t>
      </w:r>
      <w:r w:rsidR="005E1F7E" w:rsidRPr="00043DB3">
        <w:rPr>
          <w:szCs w:val="28"/>
        </w:rPr>
        <w:t xml:space="preserve"> và giá cả thị trường hiện nay.</w:t>
      </w:r>
      <w:r w:rsidR="00B52A69" w:rsidRPr="00043DB3">
        <w:rPr>
          <w:szCs w:val="28"/>
        </w:rPr>
        <w:t xml:space="preserve"> Mặt khác, </w:t>
      </w:r>
      <w:r w:rsidR="00E60737" w:rsidRPr="00043DB3">
        <w:rPr>
          <w:szCs w:val="28"/>
        </w:rPr>
        <w:t xml:space="preserve">theo quy định, </w:t>
      </w:r>
      <w:r w:rsidR="00EE34E3" w:rsidRPr="00043DB3">
        <w:rPr>
          <w:szCs w:val="28"/>
        </w:rPr>
        <w:t xml:space="preserve">trong quá trình tổ chức thực hiện </w:t>
      </w:r>
      <w:r w:rsidR="00B21BCF" w:rsidRPr="00043DB3">
        <w:rPr>
          <w:szCs w:val="28"/>
        </w:rPr>
        <w:t>tuyển dụng, nâng ngạch</w:t>
      </w:r>
      <w:r w:rsidR="0006580E" w:rsidRPr="00043DB3">
        <w:rPr>
          <w:szCs w:val="28"/>
        </w:rPr>
        <w:t xml:space="preserve">, thăng hạng </w:t>
      </w:r>
      <w:r w:rsidR="00E60737" w:rsidRPr="00043DB3">
        <w:rPr>
          <w:szCs w:val="28"/>
        </w:rPr>
        <w:t>có nhiều nội dung công việc</w:t>
      </w:r>
      <w:r w:rsidR="006D2911" w:rsidRPr="00043DB3">
        <w:rPr>
          <w:szCs w:val="28"/>
        </w:rPr>
        <w:t xml:space="preserve"> cơ quan thường trực, Hội đồng </w:t>
      </w:r>
      <w:r w:rsidR="00E60737" w:rsidRPr="00043DB3">
        <w:rPr>
          <w:szCs w:val="28"/>
        </w:rPr>
        <w:t>phải tổ chức thực hiện</w:t>
      </w:r>
      <w:r w:rsidR="006D2911" w:rsidRPr="00043DB3">
        <w:rPr>
          <w:szCs w:val="28"/>
        </w:rPr>
        <w:t xml:space="preserve"> theo quy trình như: </w:t>
      </w:r>
      <w:r w:rsidR="000F6C0F" w:rsidRPr="00043DB3">
        <w:rPr>
          <w:szCs w:val="28"/>
        </w:rPr>
        <w:t>Thẩm định nội dung tài liệu; hướng dẫn ôn tập; xây dựng ngân hàng câu hỏi; chi trách nhiệm cho thành viên Hội đồng và các Ban giúp việc của Hội đồng; chi trách nhiệm cho các thành viên phục vụ gián tiếp;…</w:t>
      </w:r>
      <w:r w:rsidR="00E60737" w:rsidRPr="00043DB3">
        <w:rPr>
          <w:szCs w:val="28"/>
        </w:rPr>
        <w:t xml:space="preserve">, do đó cần phải </w:t>
      </w:r>
      <w:r w:rsidR="007A0776" w:rsidRPr="00043DB3">
        <w:rPr>
          <w:szCs w:val="28"/>
        </w:rPr>
        <w:t xml:space="preserve">xây dựng </w:t>
      </w:r>
      <w:r w:rsidR="00E60737" w:rsidRPr="00043DB3">
        <w:rPr>
          <w:szCs w:val="28"/>
        </w:rPr>
        <w:t>nội dung chi</w:t>
      </w:r>
      <w:r w:rsidR="009F097E" w:rsidRPr="00043DB3">
        <w:rPr>
          <w:szCs w:val="28"/>
        </w:rPr>
        <w:t>, định mức chi</w:t>
      </w:r>
      <w:r w:rsidR="00417047" w:rsidRPr="00043DB3">
        <w:rPr>
          <w:szCs w:val="28"/>
        </w:rPr>
        <w:t xml:space="preserve"> </w:t>
      </w:r>
      <w:r w:rsidR="007A0776" w:rsidRPr="00043DB3">
        <w:rPr>
          <w:szCs w:val="28"/>
        </w:rPr>
        <w:t xml:space="preserve">cụ thể </w:t>
      </w:r>
      <w:r w:rsidR="00A447AD" w:rsidRPr="00043DB3">
        <w:rPr>
          <w:szCs w:val="28"/>
        </w:rPr>
        <w:t xml:space="preserve">để </w:t>
      </w:r>
      <w:r w:rsidR="007A0776" w:rsidRPr="00043DB3">
        <w:rPr>
          <w:szCs w:val="28"/>
        </w:rPr>
        <w:t>có cơ sở cho các cơ quan, đơn vị, địa phương tổ chức thực hiện.</w:t>
      </w:r>
    </w:p>
    <w:p w14:paraId="50ABFD36" w14:textId="30A06C13" w:rsidR="00E019BD" w:rsidRPr="00043DB3" w:rsidRDefault="001A32B8" w:rsidP="00043DB3">
      <w:pPr>
        <w:widowControl w:val="0"/>
        <w:spacing w:before="120" w:after="120" w:line="340" w:lineRule="exact"/>
        <w:ind w:right="-29" w:firstLine="720"/>
        <w:jc w:val="both"/>
        <w:rPr>
          <w:szCs w:val="28"/>
        </w:rPr>
      </w:pPr>
      <w:r w:rsidRPr="00043DB3">
        <w:rPr>
          <w:szCs w:val="28"/>
        </w:rPr>
        <w:t xml:space="preserve">Việc vận mức chi theo </w:t>
      </w:r>
      <w:r w:rsidR="00FE10D7" w:rsidRPr="00043DB3">
        <w:rPr>
          <w:szCs w:val="28"/>
        </w:rPr>
        <w:t>Nghị quyết số 12/2021/NQ-HĐND ngày 07/12/2021 của Hội đồng nhân dân tỉnh</w:t>
      </w:r>
      <w:r w:rsidR="004E73FA" w:rsidRPr="00043DB3">
        <w:rPr>
          <w:szCs w:val="28"/>
        </w:rPr>
        <w:t>, cụ thể mức chi cho Chủ tịch, Phó Chủ tịch, Ủy viên của Hội đồng thi; Ban thư ký</w:t>
      </w:r>
      <w:r w:rsidR="00E77251" w:rsidRPr="00043DB3">
        <w:rPr>
          <w:szCs w:val="28"/>
        </w:rPr>
        <w:t>;</w:t>
      </w:r>
      <w:r w:rsidR="004E73FA" w:rsidRPr="00043DB3">
        <w:rPr>
          <w:szCs w:val="28"/>
        </w:rPr>
        <w:t xml:space="preserve"> Ban in sao</w:t>
      </w:r>
      <w:r w:rsidR="00E77251" w:rsidRPr="00043DB3">
        <w:rPr>
          <w:szCs w:val="28"/>
        </w:rPr>
        <w:t>;</w:t>
      </w:r>
      <w:r w:rsidR="004E73FA" w:rsidRPr="00043DB3">
        <w:rPr>
          <w:szCs w:val="28"/>
        </w:rPr>
        <w:t xml:space="preserve"> Ban vận chuyển và bàn giao; Ban coi; Hội đồng coi thi; Ban hoặc Tổ làm phách; Hội đồng xét tốt nghiệp; điểm thi; Hội đồng hoặc Ban chấm thi, chấm thẩm định, chấm phúc khảo,…có mức chi quá cao</w:t>
      </w:r>
      <w:r w:rsidR="001C0E10" w:rsidRPr="00043DB3">
        <w:rPr>
          <w:szCs w:val="28"/>
        </w:rPr>
        <w:t xml:space="preserve">, do đó Ủy ban nhân dân tỉnh đã giao Sở Nội vụ và Sở Tài chính thống nhất phương án </w:t>
      </w:r>
      <w:r w:rsidR="0030108B" w:rsidRPr="00043DB3">
        <w:rPr>
          <w:szCs w:val="28"/>
        </w:rPr>
        <w:t xml:space="preserve">vận dụng mức chi </w:t>
      </w:r>
      <w:r w:rsidR="00DC5215" w:rsidRPr="00043DB3">
        <w:rPr>
          <w:szCs w:val="28"/>
        </w:rPr>
        <w:t>bảo đảm phù hợp với khả năng ngân sách của địa phương</w:t>
      </w:r>
      <w:r w:rsidR="001C0E10" w:rsidRPr="00043DB3">
        <w:rPr>
          <w:szCs w:val="28"/>
        </w:rPr>
        <w:t xml:space="preserve">. </w:t>
      </w:r>
      <w:r w:rsidR="001C0E10" w:rsidRPr="00043DB3">
        <w:rPr>
          <w:b/>
          <w:bCs/>
          <w:i/>
          <w:iCs/>
          <w:szCs w:val="28"/>
        </w:rPr>
        <w:t xml:space="preserve">Qua báo cáo của Sở Nội vụ và Sở Tài chính </w:t>
      </w:r>
      <w:r w:rsidR="00F52324" w:rsidRPr="00043DB3">
        <w:rPr>
          <w:b/>
          <w:bCs/>
          <w:i/>
          <w:iCs/>
          <w:szCs w:val="28"/>
        </w:rPr>
        <w:t>thì áp dụng</w:t>
      </w:r>
      <w:r w:rsidR="007E19B7" w:rsidRPr="00043DB3">
        <w:rPr>
          <w:b/>
          <w:bCs/>
          <w:i/>
          <w:iCs/>
          <w:szCs w:val="28"/>
        </w:rPr>
        <w:t xml:space="preserve"> </w:t>
      </w:r>
      <w:r w:rsidR="00F52324" w:rsidRPr="00043DB3">
        <w:rPr>
          <w:b/>
          <w:bCs/>
          <w:i/>
          <w:iCs/>
          <w:szCs w:val="28"/>
        </w:rPr>
        <w:t xml:space="preserve">90% </w:t>
      </w:r>
      <w:r w:rsidR="007E19B7" w:rsidRPr="00043DB3">
        <w:rPr>
          <w:b/>
          <w:bCs/>
          <w:i/>
          <w:iCs/>
          <w:szCs w:val="28"/>
        </w:rPr>
        <w:t xml:space="preserve">mức chi tại điểm b khoản 2 Điều 2 </w:t>
      </w:r>
      <w:r w:rsidR="00DC1FC9" w:rsidRPr="00043DB3">
        <w:rPr>
          <w:b/>
          <w:bCs/>
          <w:i/>
          <w:iCs/>
          <w:szCs w:val="28"/>
        </w:rPr>
        <w:t>cho thành viên Hội đồng và các Ban giúp việc của Hội đồng</w:t>
      </w:r>
      <w:r w:rsidR="007E19B7" w:rsidRPr="00043DB3">
        <w:rPr>
          <w:b/>
          <w:bCs/>
          <w:i/>
          <w:iCs/>
          <w:szCs w:val="28"/>
        </w:rPr>
        <w:t xml:space="preserve"> là phù hợp</w:t>
      </w:r>
      <w:r w:rsidR="00217005" w:rsidRPr="00043DB3">
        <w:rPr>
          <w:b/>
          <w:bCs/>
          <w:i/>
          <w:iCs/>
          <w:szCs w:val="28"/>
        </w:rPr>
        <w:t>; các mức chi khác xây dựng theo phương án hỗ trợ tiền công cho người thực hiện nhiệm vụ, các nội dung khác thực hiện theo quy định hiện hành</w:t>
      </w:r>
      <w:r w:rsidR="00DC1FC9" w:rsidRPr="00043DB3">
        <w:rPr>
          <w:szCs w:val="28"/>
        </w:rPr>
        <w:t>.</w:t>
      </w:r>
      <w:r w:rsidR="00A175B2" w:rsidRPr="00043DB3">
        <w:rPr>
          <w:szCs w:val="28"/>
        </w:rPr>
        <w:t xml:space="preserve"> </w:t>
      </w:r>
      <w:r w:rsidR="004556F5" w:rsidRPr="00043DB3">
        <w:rPr>
          <w:szCs w:val="28"/>
        </w:rPr>
        <w:t xml:space="preserve">Với </w:t>
      </w:r>
      <w:r w:rsidR="004556F5" w:rsidRPr="00043DB3">
        <w:rPr>
          <w:szCs w:val="28"/>
        </w:rPr>
        <w:lastRenderedPageBreak/>
        <w:t xml:space="preserve">nội dung trên, Ủy ban nhân dân tỉnh đề xuất các nội dung chi, định mức chi </w:t>
      </w:r>
      <w:r w:rsidR="00391587" w:rsidRPr="00043DB3">
        <w:rPr>
          <w:szCs w:val="28"/>
        </w:rPr>
        <w:t>tại dự thảo Nghị quyết cụ thể như sau:</w:t>
      </w:r>
      <w:r w:rsidR="004556F5" w:rsidRPr="00043DB3">
        <w:rPr>
          <w:szCs w:val="28"/>
        </w:rPr>
        <w:t xml:space="preserve"> </w:t>
      </w:r>
    </w:p>
    <w:p w14:paraId="7F9C3E69" w14:textId="07140487" w:rsidR="009E62C9" w:rsidRPr="00950B3E" w:rsidRDefault="00111E63" w:rsidP="00043DB3">
      <w:pPr>
        <w:widowControl w:val="0"/>
        <w:spacing w:before="120" w:after="120" w:line="340" w:lineRule="exact"/>
        <w:ind w:right="-29" w:firstLine="720"/>
        <w:jc w:val="both"/>
        <w:rPr>
          <w:szCs w:val="28"/>
        </w:rPr>
      </w:pPr>
      <w:r w:rsidRPr="00950B3E">
        <w:rPr>
          <w:iCs/>
          <w:szCs w:val="28"/>
        </w:rPr>
        <w:t>a)</w:t>
      </w:r>
      <w:r w:rsidR="00A3573E" w:rsidRPr="00950B3E">
        <w:rPr>
          <w:iCs/>
          <w:szCs w:val="28"/>
        </w:rPr>
        <w:t xml:space="preserve"> </w:t>
      </w:r>
      <w:r w:rsidR="009E62C9" w:rsidRPr="00950B3E">
        <w:rPr>
          <w:iCs/>
          <w:szCs w:val="28"/>
        </w:rPr>
        <w:t>Thẩm định</w:t>
      </w:r>
      <w:r w:rsidR="00BD0140" w:rsidRPr="00950B3E">
        <w:rPr>
          <w:iCs/>
          <w:szCs w:val="28"/>
        </w:rPr>
        <w:t xml:space="preserve"> </w:t>
      </w:r>
      <w:r w:rsidR="003F4275" w:rsidRPr="00950B3E">
        <w:rPr>
          <w:iCs/>
          <w:szCs w:val="28"/>
        </w:rPr>
        <w:t xml:space="preserve">nội dung </w:t>
      </w:r>
      <w:r w:rsidR="009E62C9" w:rsidRPr="00950B3E">
        <w:rPr>
          <w:iCs/>
          <w:szCs w:val="28"/>
        </w:rPr>
        <w:t>và hướng dẫn ôn tập</w:t>
      </w:r>
      <w:r w:rsidR="009E62C9" w:rsidRPr="00950B3E">
        <w:rPr>
          <w:szCs w:val="28"/>
        </w:rPr>
        <w:t>:</w:t>
      </w:r>
    </w:p>
    <w:p w14:paraId="40605087" w14:textId="2C7CC1C9" w:rsidR="00DC23A0" w:rsidRPr="00043DB3" w:rsidRDefault="00E46AEE" w:rsidP="00043DB3">
      <w:pPr>
        <w:widowControl w:val="0"/>
        <w:spacing w:before="120" w:after="120" w:line="340" w:lineRule="exact"/>
        <w:ind w:right="-29" w:firstLine="720"/>
        <w:jc w:val="both"/>
        <w:rPr>
          <w:szCs w:val="28"/>
        </w:rPr>
      </w:pPr>
      <w:r w:rsidRPr="00043DB3">
        <w:rPr>
          <w:szCs w:val="28"/>
        </w:rPr>
        <w:t>-</w:t>
      </w:r>
      <w:r w:rsidR="009E62C9" w:rsidRPr="00043DB3">
        <w:rPr>
          <w:szCs w:val="28"/>
        </w:rPr>
        <w:t xml:space="preserve"> T</w:t>
      </w:r>
      <w:r w:rsidR="00A3573E" w:rsidRPr="00043DB3">
        <w:rPr>
          <w:szCs w:val="28"/>
        </w:rPr>
        <w:t>hẩm định nội dung tài liệu ôn tập</w:t>
      </w:r>
      <w:r w:rsidR="00FD1825" w:rsidRPr="00043DB3">
        <w:rPr>
          <w:szCs w:val="28"/>
        </w:rPr>
        <w:t>:</w:t>
      </w:r>
      <w:r w:rsidR="004938D1" w:rsidRPr="00043DB3">
        <w:rPr>
          <w:szCs w:val="28"/>
        </w:rPr>
        <w:t xml:space="preserve"> </w:t>
      </w:r>
      <w:r w:rsidR="00DC23A0" w:rsidRPr="00043DB3">
        <w:rPr>
          <w:szCs w:val="28"/>
        </w:rPr>
        <w:t xml:space="preserve">Hiện nay, các văn bản quy phạm pháp luật hiện hành chưa có quy định về mức chi đối với thẩm định tài liệu ôn tập. Tuy nhiên, qua quá trình thực hiện nhiệm </w:t>
      </w:r>
      <w:r w:rsidR="00F261D7" w:rsidRPr="00043DB3">
        <w:rPr>
          <w:szCs w:val="28"/>
        </w:rPr>
        <w:t xml:space="preserve">vụ </w:t>
      </w:r>
      <w:r w:rsidR="00DC23A0" w:rsidRPr="00043DB3">
        <w:rPr>
          <w:szCs w:val="28"/>
        </w:rPr>
        <w:t xml:space="preserve">trong thực tế </w:t>
      </w:r>
      <w:r w:rsidR="00E95995" w:rsidRPr="00043DB3">
        <w:rPr>
          <w:szCs w:val="28"/>
        </w:rPr>
        <w:t>khi tổ tuyển dụng, nâng ngạch, thăng hạng phải cung cấp tài liệu cho thí sinh ôn tập của 02 vòng thi</w:t>
      </w:r>
      <w:r w:rsidR="008567BE" w:rsidRPr="00043DB3">
        <w:rPr>
          <w:szCs w:val="28"/>
        </w:rPr>
        <w:t xml:space="preserve"> và cung cấp tài liệu cho Hội đồng và các Ban </w:t>
      </w:r>
      <w:r w:rsidR="00277843" w:rsidRPr="00043DB3">
        <w:rPr>
          <w:szCs w:val="28"/>
        </w:rPr>
        <w:t xml:space="preserve">của Hội đồng </w:t>
      </w:r>
      <w:r w:rsidR="008567BE" w:rsidRPr="00043DB3">
        <w:rPr>
          <w:szCs w:val="28"/>
        </w:rPr>
        <w:t xml:space="preserve">thực hiện </w:t>
      </w:r>
      <w:r w:rsidR="008820F7" w:rsidRPr="00043DB3">
        <w:rPr>
          <w:color w:val="000000" w:themeColor="text1"/>
          <w:szCs w:val="28"/>
        </w:rPr>
        <w:t xml:space="preserve">xây dựng </w:t>
      </w:r>
      <w:r w:rsidR="008567BE" w:rsidRPr="00043DB3">
        <w:rPr>
          <w:color w:val="000000" w:themeColor="text1"/>
          <w:szCs w:val="28"/>
        </w:rPr>
        <w:t xml:space="preserve">đề thi, </w:t>
      </w:r>
      <w:r w:rsidR="00E95995" w:rsidRPr="00043DB3">
        <w:rPr>
          <w:color w:val="000000" w:themeColor="text1"/>
          <w:szCs w:val="28"/>
        </w:rPr>
        <w:t xml:space="preserve">do đó phải có bộ phận thẩm định tài liệu mới bảo đảm </w:t>
      </w:r>
      <w:r w:rsidR="008567BE" w:rsidRPr="00043DB3">
        <w:rPr>
          <w:color w:val="000000" w:themeColor="text1"/>
          <w:szCs w:val="28"/>
        </w:rPr>
        <w:t>sự phù hợp về dung lượng tài liệu</w:t>
      </w:r>
      <w:r w:rsidR="008F0013" w:rsidRPr="00043DB3">
        <w:rPr>
          <w:color w:val="000000" w:themeColor="text1"/>
          <w:szCs w:val="28"/>
        </w:rPr>
        <w:t xml:space="preserve"> và tính chính xác của </w:t>
      </w:r>
      <w:r w:rsidR="008567BE" w:rsidRPr="00043DB3">
        <w:rPr>
          <w:color w:val="000000" w:themeColor="text1"/>
          <w:szCs w:val="28"/>
        </w:rPr>
        <w:t>nội dung tài liệu,</w:t>
      </w:r>
      <w:r w:rsidR="008F0013" w:rsidRPr="00043DB3">
        <w:rPr>
          <w:color w:val="000000" w:themeColor="text1"/>
          <w:szCs w:val="28"/>
        </w:rPr>
        <w:t>…</w:t>
      </w:r>
      <w:r w:rsidR="00BC406D" w:rsidRPr="00043DB3">
        <w:rPr>
          <w:color w:val="000000" w:themeColor="text1"/>
          <w:szCs w:val="28"/>
        </w:rPr>
        <w:t>Nếu tính kinh phí để chi bồi dưỡng cho người thẩm định th</w:t>
      </w:r>
      <w:r w:rsidR="00EF2102" w:rsidRPr="00043DB3">
        <w:rPr>
          <w:color w:val="000000" w:themeColor="text1"/>
          <w:szCs w:val="28"/>
        </w:rPr>
        <w:t>eo</w:t>
      </w:r>
      <w:r w:rsidR="00BC406D" w:rsidRPr="00043DB3">
        <w:rPr>
          <w:color w:val="000000" w:themeColor="text1"/>
          <w:szCs w:val="28"/>
        </w:rPr>
        <w:t xml:space="preserve"> trang</w:t>
      </w:r>
      <w:r w:rsidR="008042AE" w:rsidRPr="00043DB3">
        <w:rPr>
          <w:color w:val="000000" w:themeColor="text1"/>
          <w:szCs w:val="28"/>
        </w:rPr>
        <w:t xml:space="preserve"> tài liệu</w:t>
      </w:r>
      <w:r w:rsidR="00BC406D" w:rsidRPr="00043DB3">
        <w:rPr>
          <w:color w:val="000000" w:themeColor="text1"/>
          <w:szCs w:val="28"/>
        </w:rPr>
        <w:t xml:space="preserve"> t</w:t>
      </w:r>
      <w:r w:rsidR="00BC406D" w:rsidRPr="00043DB3">
        <w:rPr>
          <w:szCs w:val="28"/>
        </w:rPr>
        <w:t xml:space="preserve">hì số lượng kinh phí chi rất lớn, mỗi kỳ thi </w:t>
      </w:r>
      <w:r w:rsidR="00AB0A51" w:rsidRPr="00043DB3">
        <w:rPr>
          <w:szCs w:val="28"/>
        </w:rPr>
        <w:t xml:space="preserve">có nhiều vị trí việc làm thì phải </w:t>
      </w:r>
      <w:r w:rsidR="00EF2102" w:rsidRPr="00043DB3">
        <w:rPr>
          <w:szCs w:val="28"/>
        </w:rPr>
        <w:t xml:space="preserve">xây dựng tài liệu </w:t>
      </w:r>
      <w:r w:rsidR="00AB0A51" w:rsidRPr="00043DB3">
        <w:rPr>
          <w:szCs w:val="28"/>
        </w:rPr>
        <w:t>theo vị trí</w:t>
      </w:r>
      <w:r w:rsidR="00EF2102" w:rsidRPr="00043DB3">
        <w:rPr>
          <w:szCs w:val="28"/>
        </w:rPr>
        <w:t xml:space="preserve"> việc làm cần tuyển. Do đó, Ủy ban nhân dân tỉnh đề xuất mức </w:t>
      </w:r>
      <w:r w:rsidR="003E6E58" w:rsidRPr="00043DB3">
        <w:rPr>
          <w:szCs w:val="28"/>
        </w:rPr>
        <w:t xml:space="preserve">hỗ trợ chi </w:t>
      </w:r>
      <w:r w:rsidR="00EF2102" w:rsidRPr="00043DB3">
        <w:rPr>
          <w:szCs w:val="28"/>
        </w:rPr>
        <w:t xml:space="preserve">thẩm định tài liệu </w:t>
      </w:r>
      <w:r w:rsidR="004A571E" w:rsidRPr="00043DB3">
        <w:rPr>
          <w:szCs w:val="28"/>
        </w:rPr>
        <w:t xml:space="preserve">theo ngày công và hỗ trợ  </w:t>
      </w:r>
      <w:r w:rsidR="00EF2102" w:rsidRPr="00043DB3">
        <w:rPr>
          <w:szCs w:val="28"/>
        </w:rPr>
        <w:t>200.000đồng/người/ngày</w:t>
      </w:r>
      <w:r w:rsidR="00C11986" w:rsidRPr="00043DB3">
        <w:rPr>
          <w:szCs w:val="28"/>
        </w:rPr>
        <w:t xml:space="preserve"> (qua rà soát </w:t>
      </w:r>
      <w:r w:rsidR="00BE4F35" w:rsidRPr="00043DB3">
        <w:rPr>
          <w:szCs w:val="28"/>
        </w:rPr>
        <w:t xml:space="preserve">Nghị quyết Hội đồng nhân dân của </w:t>
      </w:r>
      <w:r w:rsidR="00C11986" w:rsidRPr="00043DB3">
        <w:rPr>
          <w:szCs w:val="28"/>
        </w:rPr>
        <w:t xml:space="preserve">một số </w:t>
      </w:r>
      <w:r w:rsidR="002B3066" w:rsidRPr="00043DB3">
        <w:rPr>
          <w:szCs w:val="28"/>
        </w:rPr>
        <w:t>địa phương</w:t>
      </w:r>
      <w:r w:rsidR="00DE152C">
        <w:rPr>
          <w:szCs w:val="28"/>
        </w:rPr>
        <w:t xml:space="preserve"> như</w:t>
      </w:r>
      <w:r w:rsidR="00FB3293" w:rsidRPr="00043DB3">
        <w:rPr>
          <w:szCs w:val="28"/>
        </w:rPr>
        <w:t xml:space="preserve"> </w:t>
      </w:r>
      <w:r w:rsidR="00C11986" w:rsidRPr="00043DB3">
        <w:rPr>
          <w:szCs w:val="28"/>
        </w:rPr>
        <w:t>tỉn</w:t>
      </w:r>
      <w:r w:rsidR="00FB3293" w:rsidRPr="00043DB3">
        <w:rPr>
          <w:szCs w:val="28"/>
        </w:rPr>
        <w:t xml:space="preserve">h Quảng Nam chi 1.000.000đồng/môn; tỉnh </w:t>
      </w:r>
      <w:r w:rsidR="001D0197" w:rsidRPr="00043DB3">
        <w:rPr>
          <w:szCs w:val="28"/>
        </w:rPr>
        <w:t>Hà Nam 1.000.000đồng/người/ngày</w:t>
      </w:r>
      <w:r w:rsidR="00C11986" w:rsidRPr="00043DB3">
        <w:rPr>
          <w:szCs w:val="28"/>
        </w:rPr>
        <w:t>)</w:t>
      </w:r>
      <w:r w:rsidR="007B7FBA" w:rsidRPr="00043DB3">
        <w:rPr>
          <w:szCs w:val="28"/>
        </w:rPr>
        <w:t>, tỉnh Bắc Kạn đề xuất mức 200.000đồng/người/ngày là phù hợp.</w:t>
      </w:r>
    </w:p>
    <w:p w14:paraId="37FBEB34" w14:textId="489B9658" w:rsidR="00DC23A0" w:rsidRPr="00043DB3" w:rsidRDefault="00E46AEE" w:rsidP="00043DB3">
      <w:pPr>
        <w:widowControl w:val="0"/>
        <w:spacing w:before="120" w:after="120" w:line="340" w:lineRule="exact"/>
        <w:ind w:right="-29" w:firstLine="720"/>
        <w:jc w:val="both"/>
        <w:rPr>
          <w:szCs w:val="28"/>
        </w:rPr>
      </w:pPr>
      <w:r w:rsidRPr="00043DB3">
        <w:rPr>
          <w:szCs w:val="28"/>
        </w:rPr>
        <w:t>-</w:t>
      </w:r>
      <w:r w:rsidR="009E62C9" w:rsidRPr="00043DB3">
        <w:rPr>
          <w:szCs w:val="28"/>
        </w:rPr>
        <w:t xml:space="preserve"> H</w:t>
      </w:r>
      <w:r w:rsidR="00F30FA1" w:rsidRPr="00043DB3">
        <w:rPr>
          <w:szCs w:val="28"/>
        </w:rPr>
        <w:t>ướng dẫn ôn tập</w:t>
      </w:r>
      <w:r w:rsidR="00D84C41" w:rsidRPr="00043DB3">
        <w:rPr>
          <w:szCs w:val="28"/>
        </w:rPr>
        <w:t>:</w:t>
      </w:r>
    </w:p>
    <w:p w14:paraId="078DE230" w14:textId="72BEE0CB" w:rsidR="00C915D2" w:rsidRPr="00043DB3" w:rsidRDefault="00C915D2" w:rsidP="00043DB3">
      <w:pPr>
        <w:widowControl w:val="0"/>
        <w:spacing w:before="120" w:after="120" w:line="340" w:lineRule="exact"/>
        <w:ind w:right="-29" w:firstLine="720"/>
        <w:jc w:val="both"/>
        <w:rPr>
          <w:szCs w:val="28"/>
        </w:rPr>
      </w:pPr>
      <w:r w:rsidRPr="00043DB3">
        <w:rPr>
          <w:szCs w:val="28"/>
        </w:rPr>
        <w:t xml:space="preserve">Vận dụng mức chi theo Điều 3 </w:t>
      </w:r>
      <w:r w:rsidR="0014043F" w:rsidRPr="00043DB3">
        <w:rPr>
          <w:szCs w:val="28"/>
        </w:rPr>
        <w:t xml:space="preserve">Quy định mức chi đào tạo, bồi dưỡng cán bộ, công chức, viên chức trong nước do ngân sách địa phương đảm bảo ban hành kèm theo </w:t>
      </w:r>
      <w:r w:rsidRPr="00043DB3">
        <w:rPr>
          <w:szCs w:val="28"/>
        </w:rPr>
        <w:t>Nghị quyết số 21/2018/NQ-HĐND ngày 10/12/2018 của Hội đồng nhân dân tỉn</w:t>
      </w:r>
      <w:r w:rsidR="00136384" w:rsidRPr="00043DB3">
        <w:rPr>
          <w:szCs w:val="28"/>
        </w:rPr>
        <w:t>h, cụ thể:</w:t>
      </w:r>
    </w:p>
    <w:p w14:paraId="7C2C721D" w14:textId="6D33C5B4" w:rsidR="004621E3" w:rsidRPr="00043DB3" w:rsidRDefault="004621E3" w:rsidP="00043DB3">
      <w:pPr>
        <w:pStyle w:val="NormalWeb"/>
        <w:shd w:val="clear" w:color="auto" w:fill="FFFFFF"/>
        <w:spacing w:before="120" w:beforeAutospacing="0" w:after="120" w:afterAutospacing="0" w:line="340" w:lineRule="exact"/>
        <w:ind w:firstLine="720"/>
        <w:jc w:val="both"/>
        <w:rPr>
          <w:color w:val="000000"/>
          <w:sz w:val="28"/>
          <w:szCs w:val="28"/>
        </w:rPr>
      </w:pPr>
      <w:r w:rsidRPr="00043DB3">
        <w:rPr>
          <w:color w:val="000000"/>
          <w:sz w:val="28"/>
          <w:szCs w:val="28"/>
        </w:rPr>
        <w:t>“</w:t>
      </w:r>
      <w:r w:rsidRPr="00043DB3">
        <w:rPr>
          <w:color w:val="000000"/>
          <w:sz w:val="28"/>
          <w:szCs w:val="28"/>
          <w:lang w:val="vi-VN"/>
        </w:rPr>
        <w:t xml:space="preserve">d) Giảng viên, báo cáo viên là Giám đốc, Phó Giám đốc các Sở, </w:t>
      </w:r>
      <w:r w:rsidR="00DE152C">
        <w:rPr>
          <w:color w:val="000000"/>
          <w:sz w:val="28"/>
          <w:szCs w:val="28"/>
          <w:lang w:val="vi-VN"/>
        </w:rPr>
        <w:t xml:space="preserve">ban, ngành; Bí thư, Phó Bí thư </w:t>
      </w:r>
      <w:r w:rsidR="00DE152C">
        <w:rPr>
          <w:color w:val="000000"/>
          <w:sz w:val="28"/>
          <w:szCs w:val="28"/>
        </w:rPr>
        <w:t>h</w:t>
      </w:r>
      <w:r w:rsidR="00DE152C">
        <w:rPr>
          <w:color w:val="000000"/>
          <w:sz w:val="28"/>
          <w:szCs w:val="28"/>
          <w:lang w:val="vi-VN"/>
        </w:rPr>
        <w:t xml:space="preserve">uyện ủy, </w:t>
      </w:r>
      <w:r w:rsidR="00DE152C">
        <w:rPr>
          <w:color w:val="000000"/>
          <w:sz w:val="28"/>
          <w:szCs w:val="28"/>
        </w:rPr>
        <w:t>t</w:t>
      </w:r>
      <w:r w:rsidRPr="00043DB3">
        <w:rPr>
          <w:color w:val="000000"/>
          <w:sz w:val="28"/>
          <w:szCs w:val="28"/>
          <w:lang w:val="vi-VN"/>
        </w:rPr>
        <w:t>hành ủy; Chủ tịch, Phó Chủ tịch Hội đồng nhân dân, Chủ tịch, Phó Chủ tịch Ủy ban nhân dân các huyện, thành phố; Giảng viên chính và các chức danh tương đương công tác tại các cơ quan, đơn vị ở trung ương và địa phương mức chi tối đa: 1.000.000 đồng/người/buổi.</w:t>
      </w:r>
    </w:p>
    <w:p w14:paraId="5022AD9B" w14:textId="77777777" w:rsidR="004621E3" w:rsidRPr="00043DB3" w:rsidRDefault="004621E3" w:rsidP="00043DB3">
      <w:pPr>
        <w:pStyle w:val="NormalWeb"/>
        <w:shd w:val="clear" w:color="auto" w:fill="FFFFFF"/>
        <w:spacing w:before="120" w:beforeAutospacing="0" w:after="120" w:afterAutospacing="0" w:line="340" w:lineRule="exact"/>
        <w:ind w:firstLine="720"/>
        <w:jc w:val="both"/>
        <w:rPr>
          <w:color w:val="000000"/>
          <w:sz w:val="28"/>
          <w:szCs w:val="28"/>
        </w:rPr>
      </w:pPr>
      <w:r w:rsidRPr="00043DB3">
        <w:rPr>
          <w:color w:val="000000"/>
          <w:sz w:val="28"/>
          <w:szCs w:val="28"/>
          <w:lang w:val="vi-VN"/>
        </w:rPr>
        <w:t>đ) Giảng viên, báo cáo viên còn lại là cán bộ, công chức, viên chức công tác tại các cơ quan, đơn vị ở Trung ương và cấp tỉnh (ngoài 4 đối tượng nêu trên) mức chi tối đa: 800.000 đồng/người/buổi.</w:t>
      </w:r>
    </w:p>
    <w:p w14:paraId="5D6B02E0" w14:textId="372DD6D0" w:rsidR="004621E3" w:rsidRPr="00043DB3" w:rsidRDefault="004621E3" w:rsidP="00043DB3">
      <w:pPr>
        <w:pStyle w:val="NormalWeb"/>
        <w:shd w:val="clear" w:color="auto" w:fill="FFFFFF"/>
        <w:spacing w:before="120" w:beforeAutospacing="0" w:after="120" w:afterAutospacing="0" w:line="340" w:lineRule="exact"/>
        <w:ind w:firstLine="720"/>
        <w:jc w:val="both"/>
        <w:rPr>
          <w:color w:val="000000"/>
          <w:sz w:val="28"/>
          <w:szCs w:val="28"/>
        </w:rPr>
      </w:pPr>
      <w:r w:rsidRPr="00043DB3">
        <w:rPr>
          <w:color w:val="000000"/>
          <w:sz w:val="28"/>
          <w:szCs w:val="28"/>
          <w:lang w:val="vi-VN"/>
        </w:rPr>
        <w:t>e) Giảng viên, báo cáo viên là cán bộ, công chức, viên chức công tác tại các đơn vị cấp huyện và tương đương mức chi tối đa: 600.000 đồng/người/buổi</w:t>
      </w:r>
      <w:r w:rsidRPr="00043DB3">
        <w:rPr>
          <w:color w:val="000000"/>
          <w:sz w:val="28"/>
          <w:szCs w:val="28"/>
        </w:rPr>
        <w:t>”</w:t>
      </w:r>
      <w:r w:rsidR="00786CA7" w:rsidRPr="00043DB3">
        <w:rPr>
          <w:color w:val="000000"/>
          <w:sz w:val="28"/>
          <w:szCs w:val="28"/>
        </w:rPr>
        <w:t>.</w:t>
      </w:r>
    </w:p>
    <w:p w14:paraId="7496C8F1" w14:textId="26C281C1" w:rsidR="00CA1AC9" w:rsidRPr="00043DB3" w:rsidRDefault="00CA1AC9" w:rsidP="00043DB3">
      <w:pPr>
        <w:pStyle w:val="NormalWeb"/>
        <w:shd w:val="clear" w:color="auto" w:fill="FFFFFF"/>
        <w:spacing w:before="120" w:beforeAutospacing="0" w:after="120" w:afterAutospacing="0" w:line="340" w:lineRule="exact"/>
        <w:ind w:firstLine="720"/>
        <w:jc w:val="both"/>
        <w:rPr>
          <w:color w:val="000000"/>
          <w:sz w:val="28"/>
          <w:szCs w:val="28"/>
        </w:rPr>
      </w:pPr>
      <w:r w:rsidRPr="00043DB3">
        <w:rPr>
          <w:color w:val="000000"/>
          <w:sz w:val="28"/>
          <w:szCs w:val="28"/>
        </w:rPr>
        <w:t xml:space="preserve">Qua rà soát </w:t>
      </w:r>
      <w:r w:rsidR="00A60AD5" w:rsidRPr="00043DB3">
        <w:rPr>
          <w:color w:val="000000"/>
          <w:sz w:val="28"/>
          <w:szCs w:val="28"/>
        </w:rPr>
        <w:t xml:space="preserve">Nghị quyết Hội đồng nhân dân của </w:t>
      </w:r>
      <w:r w:rsidRPr="00043DB3">
        <w:rPr>
          <w:color w:val="000000"/>
          <w:sz w:val="28"/>
          <w:szCs w:val="28"/>
        </w:rPr>
        <w:t>một số</w:t>
      </w:r>
      <w:r w:rsidR="0099013B" w:rsidRPr="00043DB3">
        <w:rPr>
          <w:color w:val="000000"/>
          <w:sz w:val="28"/>
          <w:szCs w:val="28"/>
        </w:rPr>
        <w:t xml:space="preserve"> địa phương</w:t>
      </w:r>
      <w:r w:rsidR="00844B79" w:rsidRPr="00043DB3">
        <w:rPr>
          <w:color w:val="000000"/>
          <w:sz w:val="28"/>
          <w:szCs w:val="28"/>
        </w:rPr>
        <w:t xml:space="preserve">, </w:t>
      </w:r>
      <w:r w:rsidR="00D73F3C" w:rsidRPr="00043DB3">
        <w:rPr>
          <w:color w:val="000000"/>
          <w:sz w:val="28"/>
          <w:szCs w:val="28"/>
        </w:rPr>
        <w:t xml:space="preserve">tỉnh Hà Nam chi 600.000đồng/người/buổi đối với </w:t>
      </w:r>
      <w:r w:rsidR="000671FA" w:rsidRPr="00043DB3">
        <w:rPr>
          <w:color w:val="000000"/>
          <w:sz w:val="28"/>
          <w:szCs w:val="28"/>
        </w:rPr>
        <w:t>giảng viên báo cáo viên cấp tỉnh, 500.000đồng/người/buổi đối với giảng viên báo cáo viên cấp huyện</w:t>
      </w:r>
      <w:r w:rsidR="000413FF" w:rsidRPr="00043DB3">
        <w:rPr>
          <w:color w:val="000000"/>
          <w:sz w:val="28"/>
          <w:szCs w:val="28"/>
        </w:rPr>
        <w:t>. T</w:t>
      </w:r>
      <w:r w:rsidR="005547EE" w:rsidRPr="00043DB3">
        <w:rPr>
          <w:color w:val="000000"/>
          <w:sz w:val="28"/>
          <w:szCs w:val="28"/>
        </w:rPr>
        <w:t>ỉnh L</w:t>
      </w:r>
      <w:r w:rsidR="00090A83" w:rsidRPr="00043DB3">
        <w:rPr>
          <w:color w:val="000000"/>
          <w:sz w:val="28"/>
          <w:szCs w:val="28"/>
        </w:rPr>
        <w:t>à</w:t>
      </w:r>
      <w:r w:rsidR="005547EE" w:rsidRPr="00043DB3">
        <w:rPr>
          <w:color w:val="000000"/>
          <w:sz w:val="28"/>
          <w:szCs w:val="28"/>
        </w:rPr>
        <w:t xml:space="preserve">o Cai chi 1.500.000đồng/môn đối với giảng viên báo cáo viên thuộc các cơ quan, đơn vị </w:t>
      </w:r>
      <w:r w:rsidR="000413FF" w:rsidRPr="00043DB3">
        <w:rPr>
          <w:color w:val="000000"/>
          <w:sz w:val="28"/>
          <w:szCs w:val="28"/>
        </w:rPr>
        <w:t xml:space="preserve">của Trung ương; 1.500.000đồng/môn đối với giảng viên báo cáo viên cấp tỉnh, cấp huyện. </w:t>
      </w:r>
      <w:r w:rsidR="00574417" w:rsidRPr="00043DB3">
        <w:rPr>
          <w:color w:val="000000"/>
          <w:sz w:val="28"/>
          <w:szCs w:val="28"/>
        </w:rPr>
        <w:t>Tỉnh Quảng Nam chi 1.200.000đồng/người/buổi.</w:t>
      </w:r>
    </w:p>
    <w:p w14:paraId="197635AA" w14:textId="4D8A8D23" w:rsidR="00574417" w:rsidRPr="00043DB3" w:rsidRDefault="00574417" w:rsidP="00043DB3">
      <w:pPr>
        <w:pStyle w:val="NormalWeb"/>
        <w:shd w:val="clear" w:color="auto" w:fill="FFFFFF"/>
        <w:spacing w:before="120" w:beforeAutospacing="0" w:after="120" w:afterAutospacing="0" w:line="340" w:lineRule="exact"/>
        <w:ind w:firstLine="720"/>
        <w:jc w:val="both"/>
        <w:rPr>
          <w:sz w:val="28"/>
          <w:szCs w:val="28"/>
        </w:rPr>
      </w:pPr>
      <w:r w:rsidRPr="00043DB3">
        <w:rPr>
          <w:color w:val="000000"/>
          <w:sz w:val="28"/>
          <w:szCs w:val="28"/>
        </w:rPr>
        <w:lastRenderedPageBreak/>
        <w:t xml:space="preserve">Trên cơ sở đó, Ủy ban nhân dân tỉnh đề xuất mức chi </w:t>
      </w:r>
      <w:r w:rsidR="00FF1CCF" w:rsidRPr="00043DB3">
        <w:rPr>
          <w:sz w:val="28"/>
          <w:szCs w:val="28"/>
        </w:rPr>
        <w:t>hướng dẫn ôn tập</w:t>
      </w:r>
      <w:r w:rsidR="00181EF8" w:rsidRPr="00043DB3">
        <w:rPr>
          <w:sz w:val="28"/>
          <w:szCs w:val="28"/>
        </w:rPr>
        <w:t xml:space="preserve"> áp dụng theo </w:t>
      </w:r>
      <w:r w:rsidR="00137454" w:rsidRPr="00043DB3">
        <w:rPr>
          <w:sz w:val="28"/>
          <w:szCs w:val="28"/>
        </w:rPr>
        <w:t>Điều 3 Quy định mức chi đào tạo, bồi dưỡng cán bộ, công chức, viên chức trong nước do ngân sách địa phương đảm bảo ban hành kèm theo Nghị quyết số 21/2018/NQ-HĐND ngày 10/12/2018 của Hội đồng nhân dân tỉnh như trên.</w:t>
      </w:r>
    </w:p>
    <w:p w14:paraId="7EE63CC9" w14:textId="6AD78824" w:rsidR="00A25191" w:rsidRPr="00950B3E" w:rsidRDefault="000C0173" w:rsidP="00043DB3">
      <w:pPr>
        <w:widowControl w:val="0"/>
        <w:spacing w:before="120" w:after="120" w:line="340" w:lineRule="exact"/>
        <w:ind w:right="-29" w:firstLine="720"/>
        <w:jc w:val="both"/>
        <w:rPr>
          <w:szCs w:val="28"/>
        </w:rPr>
      </w:pPr>
      <w:r w:rsidRPr="00950B3E">
        <w:rPr>
          <w:iCs/>
          <w:szCs w:val="28"/>
        </w:rPr>
        <w:t>b)</w:t>
      </w:r>
      <w:r w:rsidR="00CD132A" w:rsidRPr="00950B3E">
        <w:rPr>
          <w:iCs/>
          <w:szCs w:val="28"/>
        </w:rPr>
        <w:t xml:space="preserve"> </w:t>
      </w:r>
      <w:r w:rsidR="009E62C9" w:rsidRPr="00950B3E">
        <w:rPr>
          <w:iCs/>
          <w:szCs w:val="28"/>
        </w:rPr>
        <w:t>Chi xây dựng ngân hàng câu hỏi đối với các môn thi trắc nghiệm trên giấy</w:t>
      </w:r>
      <w:r w:rsidR="001F3FFD" w:rsidRPr="00950B3E">
        <w:rPr>
          <w:iCs/>
          <w:szCs w:val="28"/>
        </w:rPr>
        <w:t xml:space="preserve"> (bao gồm cả đáp án và hướng dẫn chấm</w:t>
      </w:r>
      <w:r w:rsidR="001F3FFD" w:rsidRPr="00950B3E">
        <w:rPr>
          <w:szCs w:val="28"/>
        </w:rPr>
        <w:t>)</w:t>
      </w:r>
      <w:r w:rsidR="00D569B8" w:rsidRPr="00950B3E">
        <w:rPr>
          <w:szCs w:val="28"/>
        </w:rPr>
        <w:t>:</w:t>
      </w:r>
    </w:p>
    <w:p w14:paraId="0C300765" w14:textId="381AFEFD" w:rsidR="002727F7" w:rsidRPr="00043DB3" w:rsidRDefault="00A076E3" w:rsidP="00043DB3">
      <w:pPr>
        <w:widowControl w:val="0"/>
        <w:spacing w:before="120" w:after="120" w:line="340" w:lineRule="exact"/>
        <w:ind w:right="-29" w:firstLine="720"/>
        <w:jc w:val="both"/>
        <w:rPr>
          <w:szCs w:val="28"/>
        </w:rPr>
      </w:pPr>
      <w:r w:rsidRPr="00043DB3">
        <w:rPr>
          <w:szCs w:val="28"/>
        </w:rPr>
        <w:t>Qua rà soát một số địa phương như tỉnh Quảng Nam (chi 150.000đồng/ câu</w:t>
      </w:r>
      <w:r w:rsidR="00FC523A" w:rsidRPr="00043DB3">
        <w:rPr>
          <w:szCs w:val="28"/>
        </w:rPr>
        <w:t>, bao gồm soạn thảo, thẩm định, biên tập</w:t>
      </w:r>
      <w:r w:rsidRPr="00043DB3">
        <w:rPr>
          <w:szCs w:val="28"/>
        </w:rPr>
        <w:t xml:space="preserve">); </w:t>
      </w:r>
      <w:r w:rsidR="00FC523A" w:rsidRPr="00043DB3">
        <w:rPr>
          <w:szCs w:val="28"/>
        </w:rPr>
        <w:t xml:space="preserve">tỉnh </w:t>
      </w:r>
      <w:r w:rsidRPr="00043DB3">
        <w:rPr>
          <w:szCs w:val="28"/>
        </w:rPr>
        <w:t>Lào Cai (chi 85.000đồng/câu</w:t>
      </w:r>
      <w:r w:rsidR="00FC523A" w:rsidRPr="00043DB3">
        <w:rPr>
          <w:szCs w:val="28"/>
        </w:rPr>
        <w:t>, bao gồm soạn thảo, thẩm định, biên tập</w:t>
      </w:r>
      <w:r w:rsidRPr="00043DB3">
        <w:rPr>
          <w:szCs w:val="28"/>
        </w:rPr>
        <w:t>)</w:t>
      </w:r>
      <w:r w:rsidR="001D134E" w:rsidRPr="00043DB3">
        <w:rPr>
          <w:szCs w:val="28"/>
        </w:rPr>
        <w:t xml:space="preserve">; tỉnh </w:t>
      </w:r>
      <w:r w:rsidR="00FC523A" w:rsidRPr="00043DB3">
        <w:rPr>
          <w:szCs w:val="28"/>
        </w:rPr>
        <w:t>Hà Nam</w:t>
      </w:r>
      <w:r w:rsidR="00C7126F" w:rsidRPr="00043DB3">
        <w:rPr>
          <w:szCs w:val="28"/>
        </w:rPr>
        <w:t xml:space="preserve"> (</w:t>
      </w:r>
      <w:r w:rsidR="00370B4F" w:rsidRPr="00043DB3">
        <w:rPr>
          <w:szCs w:val="28"/>
        </w:rPr>
        <w:t>chi tiền xây dựng ngân hàng câu hỏi, gồm: Xây dựng, phê duyệt ma trận và bản đặc tả</w:t>
      </w:r>
      <w:r w:rsidR="00BE025A" w:rsidRPr="00043DB3">
        <w:rPr>
          <w:szCs w:val="28"/>
        </w:rPr>
        <w:t xml:space="preserve"> là 250.000đồng/người/ngày</w:t>
      </w:r>
      <w:r w:rsidR="00C9248D" w:rsidRPr="00043DB3">
        <w:rPr>
          <w:szCs w:val="28"/>
        </w:rPr>
        <w:t>;</w:t>
      </w:r>
      <w:r w:rsidR="00370B4F" w:rsidRPr="00043DB3">
        <w:rPr>
          <w:szCs w:val="28"/>
        </w:rPr>
        <w:t xml:space="preserve"> tiền công soạn câu hỏi thô</w:t>
      </w:r>
      <w:r w:rsidR="00BE025A" w:rsidRPr="00043DB3">
        <w:rPr>
          <w:szCs w:val="28"/>
        </w:rPr>
        <w:t>,</w:t>
      </w:r>
      <w:r w:rsidR="00C9248D" w:rsidRPr="00043DB3">
        <w:rPr>
          <w:szCs w:val="28"/>
        </w:rPr>
        <w:t xml:space="preserve"> rà soát, chọn lọc, thẩm định và biên tập câu hỏi, chỉnh sửa câu hỏi sau thử nghiệm</w:t>
      </w:r>
      <w:r w:rsidR="00EE6ACB" w:rsidRPr="00043DB3">
        <w:rPr>
          <w:szCs w:val="28"/>
        </w:rPr>
        <w:t>,</w:t>
      </w:r>
      <w:r w:rsidR="00C9248D" w:rsidRPr="00043DB3">
        <w:rPr>
          <w:szCs w:val="28"/>
        </w:rPr>
        <w:t xml:space="preserve"> rà soát, lựa chọn và nhập các câu hỏi vào ngân hàng câu hỏi thi theo hướng chuẩn hóa</w:t>
      </w:r>
      <w:r w:rsidR="00BE025A" w:rsidRPr="00043DB3">
        <w:rPr>
          <w:szCs w:val="28"/>
        </w:rPr>
        <w:t xml:space="preserve">, tổng là </w:t>
      </w:r>
      <w:r w:rsidR="00EE6ACB" w:rsidRPr="00043DB3">
        <w:rPr>
          <w:szCs w:val="28"/>
        </w:rPr>
        <w:t>85.000đồng/người/ngày</w:t>
      </w:r>
      <w:r w:rsidR="00C7126F" w:rsidRPr="00043DB3">
        <w:rPr>
          <w:szCs w:val="28"/>
        </w:rPr>
        <w:t xml:space="preserve">); tỉnh </w:t>
      </w:r>
      <w:r w:rsidR="001D134E" w:rsidRPr="00043DB3">
        <w:rPr>
          <w:szCs w:val="28"/>
        </w:rPr>
        <w:t xml:space="preserve">Sơn La thực hiện theo hợp đồng thuê; </w:t>
      </w:r>
      <w:r w:rsidR="00EE6ACB" w:rsidRPr="00043DB3">
        <w:rPr>
          <w:szCs w:val="28"/>
        </w:rPr>
        <w:t xml:space="preserve">thành phố </w:t>
      </w:r>
      <w:r w:rsidR="001D134E" w:rsidRPr="00043DB3">
        <w:rPr>
          <w:szCs w:val="28"/>
        </w:rPr>
        <w:t xml:space="preserve">Hà Nội </w:t>
      </w:r>
      <w:r w:rsidR="004327A4" w:rsidRPr="00043DB3">
        <w:rPr>
          <w:szCs w:val="28"/>
        </w:rPr>
        <w:t>(</w:t>
      </w:r>
      <w:r w:rsidR="00EE6ACB" w:rsidRPr="00043DB3">
        <w:rPr>
          <w:szCs w:val="28"/>
        </w:rPr>
        <w:t xml:space="preserve">tổng </w:t>
      </w:r>
      <w:r w:rsidR="004327A4" w:rsidRPr="00043DB3">
        <w:rPr>
          <w:szCs w:val="28"/>
        </w:rPr>
        <w:t xml:space="preserve">chi </w:t>
      </w:r>
      <w:r w:rsidR="001D134E" w:rsidRPr="00043DB3">
        <w:rPr>
          <w:szCs w:val="28"/>
        </w:rPr>
        <w:t>170.000đồng/câu</w:t>
      </w:r>
      <w:r w:rsidR="004327A4" w:rsidRPr="00043DB3">
        <w:rPr>
          <w:szCs w:val="28"/>
        </w:rPr>
        <w:t>)</w:t>
      </w:r>
      <w:r w:rsidR="003B6F88" w:rsidRPr="00043DB3">
        <w:rPr>
          <w:szCs w:val="28"/>
        </w:rPr>
        <w:t>. T</w:t>
      </w:r>
      <w:r w:rsidR="002727F7" w:rsidRPr="00043DB3">
        <w:rPr>
          <w:szCs w:val="28"/>
        </w:rPr>
        <w:t xml:space="preserve">heo Nghị quyết số 12/2021/NQ-HĐND ngày 07/12/2021 của Hội đồng nhân dân tỉnh thì tiền công xây dựng ngân hàng câu hỏi thi có nhiều nội dung chi như: Chi cho chủ trì 350.000đồng/người/ngày; thành viên 300.000đồng/người/ngày; </w:t>
      </w:r>
      <w:r w:rsidR="00A0559C" w:rsidRPr="00043DB3">
        <w:rPr>
          <w:szCs w:val="28"/>
        </w:rPr>
        <w:t xml:space="preserve">tiền công soạn câu hỏi thô 60.000đồng/câu; tiền công thẩm định 50.000đồng/câu,…Theo đó, Ủy ban nhân dân tỉnh đề xuất mức chung cho xây dựng ngân hàng câu hỏi đối với các môn thi trắc nghiệm trên giấy </w:t>
      </w:r>
      <w:r w:rsidR="004714BF" w:rsidRPr="00043DB3">
        <w:rPr>
          <w:szCs w:val="28"/>
        </w:rPr>
        <w:t>như sau:</w:t>
      </w:r>
    </w:p>
    <w:p w14:paraId="70AA1D8F" w14:textId="6FD9A8DD" w:rsidR="00A25191" w:rsidRPr="00043DB3" w:rsidRDefault="00A25191" w:rsidP="00043DB3">
      <w:pPr>
        <w:widowControl w:val="0"/>
        <w:spacing w:before="120" w:after="120" w:line="340" w:lineRule="exact"/>
        <w:ind w:right="-29" w:firstLine="720"/>
        <w:jc w:val="both"/>
        <w:rPr>
          <w:szCs w:val="28"/>
        </w:rPr>
      </w:pPr>
      <w:r w:rsidRPr="00043DB3">
        <w:rPr>
          <w:szCs w:val="28"/>
        </w:rPr>
        <w:t>- Soạn thảo câu hỏi trắc nghiệm: 50.000đồng/câu;</w:t>
      </w:r>
    </w:p>
    <w:p w14:paraId="366620F0" w14:textId="69A9AEE6" w:rsidR="00A25191" w:rsidRPr="00043DB3" w:rsidRDefault="00A25191" w:rsidP="00043DB3">
      <w:pPr>
        <w:widowControl w:val="0"/>
        <w:spacing w:before="120" w:after="120" w:line="340" w:lineRule="exact"/>
        <w:ind w:right="-29" w:firstLine="720"/>
        <w:jc w:val="both"/>
        <w:rPr>
          <w:szCs w:val="28"/>
        </w:rPr>
      </w:pPr>
      <w:r w:rsidRPr="00043DB3">
        <w:rPr>
          <w:szCs w:val="28"/>
        </w:rPr>
        <w:t>- Thẩm định và biên tập: 40.000đồng/câu;</w:t>
      </w:r>
    </w:p>
    <w:p w14:paraId="200AC9E2" w14:textId="297BAE81" w:rsidR="00A25191" w:rsidRPr="00043DB3" w:rsidRDefault="00A25191" w:rsidP="00043DB3">
      <w:pPr>
        <w:widowControl w:val="0"/>
        <w:spacing w:before="120" w:after="120" w:line="340" w:lineRule="exact"/>
        <w:ind w:right="-29" w:firstLine="720"/>
        <w:jc w:val="both"/>
        <w:rPr>
          <w:szCs w:val="28"/>
        </w:rPr>
      </w:pPr>
      <w:r w:rsidRPr="00043DB3">
        <w:rPr>
          <w:szCs w:val="28"/>
        </w:rPr>
        <w:t>- Chỉnh sửa, thiết lập và xây dựng hướng dẫn chấm: 30.000đồng/câu</w:t>
      </w:r>
      <w:r w:rsidR="0099013B" w:rsidRPr="00043DB3">
        <w:rPr>
          <w:szCs w:val="28"/>
        </w:rPr>
        <w:t>.</w:t>
      </w:r>
    </w:p>
    <w:p w14:paraId="1A7931B3" w14:textId="57ACF4E8" w:rsidR="00B62E52" w:rsidRPr="00950B3E" w:rsidRDefault="000C0173" w:rsidP="00043DB3">
      <w:pPr>
        <w:widowControl w:val="0"/>
        <w:spacing w:before="120" w:after="120" w:line="340" w:lineRule="exact"/>
        <w:ind w:right="-29" w:firstLine="720"/>
        <w:jc w:val="both"/>
        <w:rPr>
          <w:spacing w:val="-6"/>
          <w:szCs w:val="28"/>
        </w:rPr>
      </w:pPr>
      <w:r w:rsidRPr="00950B3E">
        <w:rPr>
          <w:iCs/>
          <w:spacing w:val="-6"/>
          <w:szCs w:val="28"/>
        </w:rPr>
        <w:t>c)</w:t>
      </w:r>
      <w:r w:rsidR="00D22609" w:rsidRPr="00950B3E">
        <w:rPr>
          <w:iCs/>
          <w:spacing w:val="-6"/>
          <w:szCs w:val="28"/>
        </w:rPr>
        <w:t xml:space="preserve"> </w:t>
      </w:r>
      <w:r w:rsidR="006D7719" w:rsidRPr="00950B3E">
        <w:rPr>
          <w:iCs/>
          <w:spacing w:val="-6"/>
          <w:szCs w:val="28"/>
        </w:rPr>
        <w:t>Chi trách nhiệm cho các thành viên Hội đồng, các Ban giúp việc của Hội đồng</w:t>
      </w:r>
      <w:r w:rsidR="00F90271" w:rsidRPr="00950B3E">
        <w:rPr>
          <w:spacing w:val="-6"/>
          <w:szCs w:val="28"/>
        </w:rPr>
        <w:t>:</w:t>
      </w:r>
    </w:p>
    <w:p w14:paraId="79EF5AD4" w14:textId="143BC7B5" w:rsidR="00C277CF" w:rsidRPr="00043DB3" w:rsidRDefault="008F311E" w:rsidP="00043DB3">
      <w:pPr>
        <w:widowControl w:val="0"/>
        <w:spacing w:before="120" w:after="120" w:line="340" w:lineRule="exact"/>
        <w:ind w:right="-29" w:firstLine="720"/>
        <w:jc w:val="both"/>
        <w:rPr>
          <w:szCs w:val="28"/>
        </w:rPr>
      </w:pPr>
      <w:r w:rsidRPr="00043DB3">
        <w:rPr>
          <w:szCs w:val="28"/>
        </w:rPr>
        <w:t xml:space="preserve">- Chi trách nhiệm cho các thành viên Hội đồng, các Ban giúp việc của Hội đồng: </w:t>
      </w:r>
      <w:r w:rsidR="00727A6E" w:rsidRPr="00043DB3">
        <w:rPr>
          <w:szCs w:val="28"/>
        </w:rPr>
        <w:t>Theo quy định tại Nghị định số 138/2020/NĐ-CP</w:t>
      </w:r>
      <w:r w:rsidR="002C168B" w:rsidRPr="00043DB3">
        <w:rPr>
          <w:szCs w:val="28"/>
        </w:rPr>
        <w:t xml:space="preserve"> </w:t>
      </w:r>
      <w:r w:rsidR="00727A6E" w:rsidRPr="00043DB3">
        <w:rPr>
          <w:szCs w:val="28"/>
        </w:rPr>
        <w:t>và Nghị định số 115/2020/NĐ-CP của Chính phủ</w:t>
      </w:r>
      <w:r w:rsidR="008A4E71" w:rsidRPr="00043DB3">
        <w:rPr>
          <w:szCs w:val="28"/>
        </w:rPr>
        <w:t xml:space="preserve">, </w:t>
      </w:r>
      <w:r w:rsidR="008A4E71" w:rsidRPr="00043DB3">
        <w:rPr>
          <w:iCs/>
          <w:color w:val="000000"/>
          <w:szCs w:val="28"/>
          <w:lang w:val="nb-NO"/>
        </w:rPr>
        <w:t>Quyết định số 08/2021/QĐ-UBND ngày 16/6/2021 của Ủy ban nhân dân tỉnh ban hành quy chế tuyển dụng công chức xã, phường, thị trấn</w:t>
      </w:r>
      <w:r w:rsidR="00727A6E" w:rsidRPr="00043DB3">
        <w:rPr>
          <w:szCs w:val="28"/>
        </w:rPr>
        <w:t xml:space="preserve"> thì Hội đồng tuyển dụng, nâng ngạch, thăng hạng do người đứng đầu cơ quan có thẩm quyền tuyển dụng, nâng ngạch, thăng hạng thành lập; Hội đồng có nhiệm vụ thành lập các </w:t>
      </w:r>
      <w:r w:rsidR="004C4C7F" w:rsidRPr="00043DB3">
        <w:rPr>
          <w:szCs w:val="28"/>
        </w:rPr>
        <w:t>Ban</w:t>
      </w:r>
      <w:r w:rsidR="00727A6E" w:rsidRPr="00043DB3">
        <w:rPr>
          <w:szCs w:val="28"/>
        </w:rPr>
        <w:t xml:space="preserve"> giúp việc</w:t>
      </w:r>
      <w:r w:rsidR="004C4C7F" w:rsidRPr="00043DB3">
        <w:rPr>
          <w:szCs w:val="28"/>
        </w:rPr>
        <w:t xml:space="preserve"> (</w:t>
      </w:r>
      <w:r w:rsidR="00727A6E" w:rsidRPr="00043DB3">
        <w:rPr>
          <w:szCs w:val="28"/>
        </w:rPr>
        <w:t>Ban kiểm tra Phiếu đăng ký dự tuyển, Ban đề</w:t>
      </w:r>
      <w:r w:rsidR="002F733D" w:rsidRPr="00043DB3">
        <w:rPr>
          <w:szCs w:val="28"/>
        </w:rPr>
        <w:t xml:space="preserve"> thi</w:t>
      </w:r>
      <w:r w:rsidR="00727A6E" w:rsidRPr="00043DB3">
        <w:rPr>
          <w:szCs w:val="28"/>
        </w:rPr>
        <w:t>, Ban coi</w:t>
      </w:r>
      <w:r w:rsidR="00B026CA" w:rsidRPr="00043DB3">
        <w:rPr>
          <w:szCs w:val="28"/>
        </w:rPr>
        <w:t xml:space="preserve"> thi</w:t>
      </w:r>
      <w:r w:rsidR="00727A6E" w:rsidRPr="00043DB3">
        <w:rPr>
          <w:szCs w:val="28"/>
        </w:rPr>
        <w:t>, Ban phách, Ban chấm</w:t>
      </w:r>
      <w:r w:rsidR="00B026CA" w:rsidRPr="00043DB3">
        <w:rPr>
          <w:szCs w:val="28"/>
        </w:rPr>
        <w:t xml:space="preserve"> thi</w:t>
      </w:r>
      <w:r w:rsidR="00727A6E" w:rsidRPr="00043DB3">
        <w:rPr>
          <w:szCs w:val="28"/>
        </w:rPr>
        <w:t>, Ban chấm phúc khảo, Ban kiểm tra sát hạch khi tổ chức phỏng vấn vòng 2,</w:t>
      </w:r>
      <w:r w:rsidR="000B13D2" w:rsidRPr="00043DB3">
        <w:rPr>
          <w:szCs w:val="28"/>
        </w:rPr>
        <w:t xml:space="preserve"> </w:t>
      </w:r>
      <w:r w:rsidR="00727A6E" w:rsidRPr="00043DB3">
        <w:rPr>
          <w:szCs w:val="28"/>
        </w:rPr>
        <w:t>Tổ thư ký giúp việc</w:t>
      </w:r>
      <w:r w:rsidR="004C4C7F" w:rsidRPr="00043DB3">
        <w:rPr>
          <w:szCs w:val="28"/>
        </w:rPr>
        <w:t>) và</w:t>
      </w:r>
      <w:r w:rsidR="00727A6E" w:rsidRPr="00043DB3">
        <w:rPr>
          <w:szCs w:val="28"/>
        </w:rPr>
        <w:t xml:space="preserve"> tổ chức thu phí</w:t>
      </w:r>
      <w:r w:rsidR="004C4C7F" w:rsidRPr="00043DB3">
        <w:rPr>
          <w:szCs w:val="28"/>
        </w:rPr>
        <w:t>,</w:t>
      </w:r>
      <w:r w:rsidR="00727A6E" w:rsidRPr="00043DB3">
        <w:rPr>
          <w:szCs w:val="28"/>
        </w:rPr>
        <w:t xml:space="preserve"> kiểm tra phiếu dự tuyển</w:t>
      </w:r>
      <w:r w:rsidR="004C4C7F" w:rsidRPr="00043DB3">
        <w:rPr>
          <w:szCs w:val="28"/>
        </w:rPr>
        <w:t>,</w:t>
      </w:r>
      <w:r w:rsidR="00727A6E" w:rsidRPr="00043DB3">
        <w:rPr>
          <w:szCs w:val="28"/>
        </w:rPr>
        <w:t xml:space="preserve"> tổ chức thi, chấm thi, chấm phúc khảo theo quy chế. </w:t>
      </w:r>
      <w:r w:rsidR="001C4EEF" w:rsidRPr="00043DB3">
        <w:rPr>
          <w:szCs w:val="28"/>
        </w:rPr>
        <w:t xml:space="preserve">Qua rà soát một số địa phương trong nước thì mức chi trách nhiệm cho các thành viên Hội đồng, các Ban giúp việc của Hội đồng </w:t>
      </w:r>
      <w:r w:rsidR="00C277CF" w:rsidRPr="00043DB3">
        <w:rPr>
          <w:szCs w:val="28"/>
        </w:rPr>
        <w:t>giữa các tỉnh là khác nhau (cụ thể theo Biểu số 03).</w:t>
      </w:r>
    </w:p>
    <w:p w14:paraId="3F7AB1C0" w14:textId="24DFA662" w:rsidR="009A46B0" w:rsidRPr="00043DB3" w:rsidRDefault="00727A6E" w:rsidP="00043DB3">
      <w:pPr>
        <w:widowControl w:val="0"/>
        <w:spacing w:before="120" w:after="120" w:line="340" w:lineRule="exact"/>
        <w:ind w:right="-29" w:firstLine="720"/>
        <w:jc w:val="both"/>
        <w:rPr>
          <w:szCs w:val="28"/>
        </w:rPr>
      </w:pPr>
      <w:r w:rsidRPr="00043DB3">
        <w:rPr>
          <w:szCs w:val="28"/>
        </w:rPr>
        <w:t xml:space="preserve">Căn cứ vào tình hình thực tế của địa phương, tính chất, mức độ và thời gian triển khai thực hiện nhiệm vụ của Hội đồng, đề xuất vận dụng mức chi theo Nghị </w:t>
      </w:r>
      <w:r w:rsidRPr="00043DB3">
        <w:rPr>
          <w:szCs w:val="28"/>
        </w:rPr>
        <w:lastRenderedPageBreak/>
        <w:t>quyết số 12/2021/NQ-HĐ</w:t>
      </w:r>
      <w:r w:rsidR="005D736C" w:rsidRPr="00043DB3">
        <w:rPr>
          <w:szCs w:val="28"/>
        </w:rPr>
        <w:t>ND</w:t>
      </w:r>
      <w:r w:rsidRPr="00043DB3">
        <w:rPr>
          <w:szCs w:val="28"/>
        </w:rPr>
        <w:t xml:space="preserve"> ngày 07/12/2021 của Hội đồng nhân dân tỉnh (áp dụng bằng 90% mức chi tại khoản 2 Điều 2 Nghị quyết này)</w:t>
      </w:r>
      <w:r w:rsidR="00EB75DB" w:rsidRPr="00043DB3">
        <w:rPr>
          <w:szCs w:val="28"/>
        </w:rPr>
        <w:t>, mức chi đã được nêu tại dự thảo Nghị quyết</w:t>
      </w:r>
      <w:r w:rsidR="00547D44" w:rsidRPr="00043DB3">
        <w:rPr>
          <w:szCs w:val="28"/>
        </w:rPr>
        <w:t xml:space="preserve"> bảo đảm </w:t>
      </w:r>
      <w:r w:rsidR="004B02DC" w:rsidRPr="00043DB3">
        <w:rPr>
          <w:szCs w:val="28"/>
        </w:rPr>
        <w:t xml:space="preserve">phù hợp với tình hình thực tế về khả năng cân đối ngân sách và tính chất của </w:t>
      </w:r>
      <w:r w:rsidR="006371A2" w:rsidRPr="00043DB3">
        <w:rPr>
          <w:szCs w:val="28"/>
        </w:rPr>
        <w:t xml:space="preserve">các </w:t>
      </w:r>
      <w:r w:rsidR="004B02DC" w:rsidRPr="00043DB3">
        <w:rPr>
          <w:szCs w:val="28"/>
        </w:rPr>
        <w:t>kỳ thi tuyển dụng</w:t>
      </w:r>
      <w:r w:rsidR="006371A2" w:rsidRPr="00043DB3">
        <w:rPr>
          <w:szCs w:val="28"/>
        </w:rPr>
        <w:t>, nâng ngạch, thăng hạng</w:t>
      </w:r>
      <w:r w:rsidR="00547D44" w:rsidRPr="00043DB3">
        <w:rPr>
          <w:szCs w:val="28"/>
        </w:rPr>
        <w:t>.</w:t>
      </w:r>
    </w:p>
    <w:p w14:paraId="6CDA02FE" w14:textId="5E74B8C3" w:rsidR="00812E69" w:rsidRPr="00F41278" w:rsidRDefault="008F311E" w:rsidP="00043DB3">
      <w:pPr>
        <w:widowControl w:val="0"/>
        <w:spacing w:before="120" w:after="120" w:line="340" w:lineRule="exact"/>
        <w:ind w:right="-28" w:firstLine="720"/>
        <w:jc w:val="both"/>
        <w:rPr>
          <w:color w:val="000000" w:themeColor="text1"/>
          <w:szCs w:val="28"/>
        </w:rPr>
      </w:pPr>
      <w:r w:rsidRPr="00F41278">
        <w:rPr>
          <w:szCs w:val="28"/>
        </w:rPr>
        <w:t xml:space="preserve">- </w:t>
      </w:r>
      <w:r w:rsidR="008D48D8" w:rsidRPr="00F41278">
        <w:rPr>
          <w:szCs w:val="28"/>
        </w:rPr>
        <w:t>Đ</w:t>
      </w:r>
      <w:r w:rsidR="00CF3CAA" w:rsidRPr="00F41278">
        <w:rPr>
          <w:szCs w:val="28"/>
        </w:rPr>
        <w:t xml:space="preserve">ối với Ban </w:t>
      </w:r>
      <w:r w:rsidR="00C90965" w:rsidRPr="00F41278">
        <w:rPr>
          <w:szCs w:val="28"/>
        </w:rPr>
        <w:t>chấm</w:t>
      </w:r>
      <w:r w:rsidR="002F733D" w:rsidRPr="00F41278">
        <w:rPr>
          <w:szCs w:val="28"/>
        </w:rPr>
        <w:t xml:space="preserve"> thi</w:t>
      </w:r>
      <w:r w:rsidR="00C90965" w:rsidRPr="00F41278">
        <w:rPr>
          <w:szCs w:val="28"/>
        </w:rPr>
        <w:t xml:space="preserve">, </w:t>
      </w:r>
      <w:r w:rsidR="00BF1B5F" w:rsidRPr="00F41278">
        <w:rPr>
          <w:szCs w:val="28"/>
        </w:rPr>
        <w:t xml:space="preserve">Ban </w:t>
      </w:r>
      <w:r w:rsidR="00C90965" w:rsidRPr="00F41278">
        <w:rPr>
          <w:szCs w:val="28"/>
        </w:rPr>
        <w:t xml:space="preserve">chấm phúc khảo: Qua rà soát một số </w:t>
      </w:r>
      <w:r w:rsidR="001E1585" w:rsidRPr="00F41278">
        <w:rPr>
          <w:szCs w:val="28"/>
        </w:rPr>
        <w:t xml:space="preserve">địa phương như </w:t>
      </w:r>
      <w:r w:rsidR="00E01024" w:rsidRPr="00F41278">
        <w:rPr>
          <w:szCs w:val="28"/>
        </w:rPr>
        <w:t>t</w:t>
      </w:r>
      <w:r w:rsidR="001E1585" w:rsidRPr="00F41278">
        <w:rPr>
          <w:szCs w:val="28"/>
        </w:rPr>
        <w:t xml:space="preserve">ỉnh </w:t>
      </w:r>
      <w:r w:rsidR="00E01024" w:rsidRPr="00F41278">
        <w:rPr>
          <w:szCs w:val="28"/>
        </w:rPr>
        <w:t>Quảng Nam</w:t>
      </w:r>
      <w:r w:rsidR="004343A5" w:rsidRPr="00F41278">
        <w:rPr>
          <w:szCs w:val="28"/>
        </w:rPr>
        <w:t xml:space="preserve"> chi cho Trưởng ban 300.000đồng/người/ngày, Phó Trưởng ban 250.000đồng/người/ngày, </w:t>
      </w:r>
      <w:r w:rsidR="004D6608" w:rsidRPr="00F41278">
        <w:rPr>
          <w:szCs w:val="28"/>
        </w:rPr>
        <w:t>t</w:t>
      </w:r>
      <w:r w:rsidR="004343A5" w:rsidRPr="00F41278">
        <w:rPr>
          <w:szCs w:val="28"/>
        </w:rPr>
        <w:t>hành viên tính theo số bài 60.000đồng/bài thi tự luận,</w:t>
      </w:r>
      <w:r w:rsidR="000E3054" w:rsidRPr="00F41278">
        <w:rPr>
          <w:szCs w:val="28"/>
        </w:rPr>
        <w:t xml:space="preserve"> </w:t>
      </w:r>
      <w:r w:rsidR="00432D61" w:rsidRPr="00F41278">
        <w:rPr>
          <w:szCs w:val="28"/>
        </w:rPr>
        <w:t>3.000đồng/bài thi trắc nghiệm, phỏng vấn, thực hành</w:t>
      </w:r>
      <w:r w:rsidR="00C1669D" w:rsidRPr="00F41278">
        <w:rPr>
          <w:szCs w:val="28"/>
        </w:rPr>
        <w:t>;</w:t>
      </w:r>
      <w:r w:rsidR="00432D61" w:rsidRPr="00F41278">
        <w:rPr>
          <w:szCs w:val="28"/>
        </w:rPr>
        <w:t xml:space="preserve"> </w:t>
      </w:r>
      <w:r w:rsidR="00257409" w:rsidRPr="00F41278">
        <w:rPr>
          <w:szCs w:val="28"/>
        </w:rPr>
        <w:t>t</w:t>
      </w:r>
      <w:r w:rsidR="00432D61" w:rsidRPr="00F41278">
        <w:rPr>
          <w:szCs w:val="28"/>
        </w:rPr>
        <w:t>hư ký 210.000đồng/người/ngày.</w:t>
      </w:r>
      <w:r w:rsidR="00466F27" w:rsidRPr="00F41278">
        <w:rPr>
          <w:szCs w:val="28"/>
          <w:lang w:val="vi-VN"/>
        </w:rPr>
        <w:t xml:space="preserve"> </w:t>
      </w:r>
      <w:r w:rsidR="00C15FD2" w:rsidRPr="00F41278">
        <w:rPr>
          <w:szCs w:val="28"/>
        </w:rPr>
        <w:t>Tỉnh Hà Nam chi cho Trưởng ban chấm 310.000đồng/người/ngày</w:t>
      </w:r>
      <w:r w:rsidR="00106AC3" w:rsidRPr="00F41278">
        <w:rPr>
          <w:szCs w:val="28"/>
        </w:rPr>
        <w:t>;</w:t>
      </w:r>
      <w:r w:rsidR="00C15FD2" w:rsidRPr="00F41278">
        <w:rPr>
          <w:szCs w:val="28"/>
        </w:rPr>
        <w:t xml:space="preserve"> thành viên</w:t>
      </w:r>
      <w:r w:rsidR="00106AC3" w:rsidRPr="00F41278">
        <w:rPr>
          <w:szCs w:val="28"/>
        </w:rPr>
        <w:t>, thư ký 210.000đồng/người/ngày</w:t>
      </w:r>
      <w:r w:rsidR="001358A8" w:rsidRPr="00F41278">
        <w:rPr>
          <w:szCs w:val="28"/>
        </w:rPr>
        <w:t xml:space="preserve">. </w:t>
      </w:r>
      <w:r w:rsidR="00432D61" w:rsidRPr="00F41278">
        <w:rPr>
          <w:szCs w:val="28"/>
        </w:rPr>
        <w:t xml:space="preserve">Tỉnh </w:t>
      </w:r>
      <w:r w:rsidR="00322C59" w:rsidRPr="00F41278">
        <w:rPr>
          <w:szCs w:val="28"/>
        </w:rPr>
        <w:t>L</w:t>
      </w:r>
      <w:r w:rsidR="00CF3CAA" w:rsidRPr="00F41278">
        <w:rPr>
          <w:szCs w:val="28"/>
        </w:rPr>
        <w:t>ào</w:t>
      </w:r>
      <w:r w:rsidR="00322C59" w:rsidRPr="00F41278">
        <w:rPr>
          <w:szCs w:val="28"/>
        </w:rPr>
        <w:t xml:space="preserve"> Cai</w:t>
      </w:r>
      <w:r w:rsidR="001E1585" w:rsidRPr="00F41278">
        <w:rPr>
          <w:szCs w:val="28"/>
        </w:rPr>
        <w:t xml:space="preserve"> chi </w:t>
      </w:r>
      <w:r w:rsidR="004E72B6" w:rsidRPr="00F41278">
        <w:rPr>
          <w:szCs w:val="28"/>
        </w:rPr>
        <w:t xml:space="preserve">cho Trưởng ban chấm 220.000đồng/người/ngày; </w:t>
      </w:r>
      <w:r w:rsidR="00BC5776" w:rsidRPr="00F41278">
        <w:rPr>
          <w:szCs w:val="28"/>
        </w:rPr>
        <w:t>thành viên tính theo bài 50.000đồng/bài tự luận, 280.000đồng/người/ngày bài trắc nghiệm, phỏng vấn, thực hành; t</w:t>
      </w:r>
      <w:r w:rsidR="004E72B6" w:rsidRPr="00F41278">
        <w:rPr>
          <w:szCs w:val="28"/>
        </w:rPr>
        <w:t>hư ký 160.000đồng/người/ngày</w:t>
      </w:r>
      <w:r w:rsidR="00155C9D" w:rsidRPr="00F41278">
        <w:rPr>
          <w:szCs w:val="28"/>
        </w:rPr>
        <w:t xml:space="preserve">. </w:t>
      </w:r>
      <w:r w:rsidR="00322C59" w:rsidRPr="00F41278">
        <w:rPr>
          <w:szCs w:val="28"/>
        </w:rPr>
        <w:t>Tỉnh Bình Thuận</w:t>
      </w:r>
      <w:r w:rsidR="00401F43" w:rsidRPr="00F41278">
        <w:rPr>
          <w:szCs w:val="28"/>
        </w:rPr>
        <w:t xml:space="preserve"> chi </w:t>
      </w:r>
      <w:r w:rsidR="00155C9D" w:rsidRPr="00F41278">
        <w:rPr>
          <w:szCs w:val="28"/>
        </w:rPr>
        <w:t xml:space="preserve">cho Trưởng ban 300.000đồng/người/ngày, Phó Trưởng ban </w:t>
      </w:r>
      <w:r w:rsidR="007624B3" w:rsidRPr="00F41278">
        <w:rPr>
          <w:szCs w:val="28"/>
        </w:rPr>
        <w:t xml:space="preserve">250.000đồng/người/ngày; thành viên </w:t>
      </w:r>
      <w:r w:rsidR="00401F43" w:rsidRPr="00F41278">
        <w:rPr>
          <w:szCs w:val="28"/>
        </w:rPr>
        <w:t xml:space="preserve">chấm bài tự luận 600.000đồng/người/buổi; </w:t>
      </w:r>
      <w:r w:rsidR="003D38BA" w:rsidRPr="00F41278">
        <w:rPr>
          <w:szCs w:val="28"/>
        </w:rPr>
        <w:t>trắc nghiệm 300.000đồng/người/buổi</w:t>
      </w:r>
      <w:r w:rsidR="007624B3" w:rsidRPr="00F41278">
        <w:rPr>
          <w:szCs w:val="28"/>
        </w:rPr>
        <w:t xml:space="preserve">; thư ký 200.000đồng/người/ngày. </w:t>
      </w:r>
      <w:r w:rsidR="00290D00" w:rsidRPr="00F41278">
        <w:rPr>
          <w:szCs w:val="28"/>
        </w:rPr>
        <w:t xml:space="preserve">Theo Nghị quyết số 12/2021/NQ-HĐND ngày 07/12/2021 của Hội đồng nhân dân tỉnh thì tiền công </w:t>
      </w:r>
      <w:r w:rsidR="004846C6" w:rsidRPr="00F41278">
        <w:rPr>
          <w:szCs w:val="28"/>
        </w:rPr>
        <w:t xml:space="preserve">chấm thi đối với các cuộc thi cấp tỉnh là 350.000đồng/người/ngày; kỳ thi chọn học sinh giỏi cấp tỉnh </w:t>
      </w:r>
      <w:r w:rsidR="00812E69" w:rsidRPr="00F41278">
        <w:rPr>
          <w:szCs w:val="28"/>
        </w:rPr>
        <w:t>550.000đồng/người/ngày,…</w:t>
      </w:r>
      <w:r w:rsidR="00BF1B5F" w:rsidRPr="00F41278">
        <w:rPr>
          <w:color w:val="000000" w:themeColor="text1"/>
          <w:szCs w:val="28"/>
        </w:rPr>
        <w:t>C</w:t>
      </w:r>
      <w:r w:rsidR="006238A2" w:rsidRPr="00F41278">
        <w:rPr>
          <w:color w:val="000000" w:themeColor="text1"/>
          <w:szCs w:val="28"/>
        </w:rPr>
        <w:t>ăn cứ vào tính chất mức độ công việc</w:t>
      </w:r>
      <w:r w:rsidR="00BF1B5F" w:rsidRPr="00F41278">
        <w:rPr>
          <w:color w:val="000000" w:themeColor="text1"/>
          <w:szCs w:val="28"/>
        </w:rPr>
        <w:t xml:space="preserve"> và điều kiện thực tế của địa phương</w:t>
      </w:r>
      <w:r w:rsidR="006238A2" w:rsidRPr="00F41278">
        <w:rPr>
          <w:color w:val="000000" w:themeColor="text1"/>
          <w:szCs w:val="28"/>
        </w:rPr>
        <w:t xml:space="preserve">, </w:t>
      </w:r>
      <w:r w:rsidR="00812E69" w:rsidRPr="00F41278">
        <w:rPr>
          <w:color w:val="000000" w:themeColor="text1"/>
          <w:szCs w:val="28"/>
        </w:rPr>
        <w:t xml:space="preserve">Ủy ban nhân dân tỉnh đề xuất mức chi </w:t>
      </w:r>
      <w:r w:rsidR="00CF3CAA" w:rsidRPr="00F41278">
        <w:rPr>
          <w:color w:val="000000" w:themeColor="text1"/>
          <w:szCs w:val="28"/>
        </w:rPr>
        <w:t>cho Ban chấm</w:t>
      </w:r>
      <w:r w:rsidR="002F733D" w:rsidRPr="00F41278">
        <w:rPr>
          <w:color w:val="000000" w:themeColor="text1"/>
          <w:szCs w:val="28"/>
        </w:rPr>
        <w:t xml:space="preserve"> thi</w:t>
      </w:r>
      <w:r w:rsidR="00812E69" w:rsidRPr="00F41278">
        <w:rPr>
          <w:color w:val="000000" w:themeColor="text1"/>
          <w:szCs w:val="28"/>
        </w:rPr>
        <w:t xml:space="preserve">, </w:t>
      </w:r>
      <w:r w:rsidR="00BF1B5F" w:rsidRPr="00F41278">
        <w:rPr>
          <w:color w:val="000000" w:themeColor="text1"/>
          <w:szCs w:val="28"/>
        </w:rPr>
        <w:t xml:space="preserve">Ban </w:t>
      </w:r>
      <w:r w:rsidR="00812E69" w:rsidRPr="00F41278">
        <w:rPr>
          <w:color w:val="000000" w:themeColor="text1"/>
          <w:szCs w:val="28"/>
        </w:rPr>
        <w:t xml:space="preserve">chấm phúc khảo </w:t>
      </w:r>
      <w:r w:rsidR="0004050B" w:rsidRPr="00F41278">
        <w:rPr>
          <w:color w:val="000000" w:themeColor="text1"/>
          <w:szCs w:val="28"/>
        </w:rPr>
        <w:t>như sau:</w:t>
      </w:r>
    </w:p>
    <w:p w14:paraId="0CA8C9C6" w14:textId="73CF669C" w:rsidR="00290D00" w:rsidRPr="00043DB3" w:rsidRDefault="00A3653B" w:rsidP="00043DB3">
      <w:pPr>
        <w:widowControl w:val="0"/>
        <w:spacing w:before="120" w:after="120" w:line="340" w:lineRule="exact"/>
        <w:ind w:right="-29" w:firstLine="720"/>
        <w:jc w:val="both"/>
        <w:rPr>
          <w:color w:val="000000" w:themeColor="text1"/>
          <w:szCs w:val="28"/>
        </w:rPr>
      </w:pPr>
      <w:r w:rsidRPr="00043DB3">
        <w:rPr>
          <w:color w:val="000000" w:themeColor="text1"/>
          <w:szCs w:val="28"/>
        </w:rPr>
        <w:t xml:space="preserve">+ </w:t>
      </w:r>
      <w:r w:rsidR="00CF3CAA" w:rsidRPr="00043DB3">
        <w:rPr>
          <w:color w:val="000000" w:themeColor="text1"/>
          <w:szCs w:val="28"/>
        </w:rPr>
        <w:t>Trưởng ban: 3</w:t>
      </w:r>
      <w:r w:rsidR="001705A8" w:rsidRPr="00043DB3">
        <w:rPr>
          <w:color w:val="000000" w:themeColor="text1"/>
          <w:szCs w:val="28"/>
        </w:rPr>
        <w:t>4</w:t>
      </w:r>
      <w:r w:rsidR="00CF3CAA" w:rsidRPr="00043DB3">
        <w:rPr>
          <w:color w:val="000000" w:themeColor="text1"/>
          <w:szCs w:val="28"/>
        </w:rPr>
        <w:t>0.000đồng/người/ngày</w:t>
      </w:r>
      <w:r w:rsidR="00525788" w:rsidRPr="00043DB3">
        <w:rPr>
          <w:color w:val="000000" w:themeColor="text1"/>
          <w:szCs w:val="28"/>
        </w:rPr>
        <w:t>;</w:t>
      </w:r>
    </w:p>
    <w:p w14:paraId="686AF6BD" w14:textId="40EC935E" w:rsidR="001705A8" w:rsidRPr="00043DB3" w:rsidRDefault="001705A8" w:rsidP="00043DB3">
      <w:pPr>
        <w:widowControl w:val="0"/>
        <w:spacing w:before="120" w:after="120" w:line="340" w:lineRule="exact"/>
        <w:ind w:right="-29" w:firstLine="720"/>
        <w:jc w:val="both"/>
        <w:rPr>
          <w:color w:val="000000" w:themeColor="text1"/>
          <w:szCs w:val="28"/>
        </w:rPr>
      </w:pPr>
      <w:r w:rsidRPr="00043DB3">
        <w:rPr>
          <w:color w:val="000000" w:themeColor="text1"/>
          <w:szCs w:val="28"/>
        </w:rPr>
        <w:t>+ Thành viên: 3</w:t>
      </w:r>
      <w:r w:rsidR="008D48D8" w:rsidRPr="00043DB3">
        <w:rPr>
          <w:color w:val="000000" w:themeColor="text1"/>
          <w:szCs w:val="28"/>
        </w:rPr>
        <w:t>0</w:t>
      </w:r>
      <w:r w:rsidRPr="00043DB3">
        <w:rPr>
          <w:color w:val="000000" w:themeColor="text1"/>
          <w:szCs w:val="28"/>
        </w:rPr>
        <w:t>0.000đồng/người/ngày;</w:t>
      </w:r>
    </w:p>
    <w:p w14:paraId="564FBB1C" w14:textId="3B59FE42" w:rsidR="00EB1D09" w:rsidRPr="00043DB3" w:rsidRDefault="00A3653B" w:rsidP="00043DB3">
      <w:pPr>
        <w:widowControl w:val="0"/>
        <w:spacing w:before="120" w:after="120" w:line="340" w:lineRule="exact"/>
        <w:ind w:right="-29" w:firstLine="720"/>
        <w:jc w:val="both"/>
        <w:rPr>
          <w:color w:val="000000" w:themeColor="text1"/>
          <w:szCs w:val="28"/>
        </w:rPr>
      </w:pPr>
      <w:r w:rsidRPr="00043DB3">
        <w:rPr>
          <w:color w:val="000000" w:themeColor="text1"/>
          <w:szCs w:val="28"/>
        </w:rPr>
        <w:t>+</w:t>
      </w:r>
      <w:r w:rsidR="00525788" w:rsidRPr="00043DB3">
        <w:rPr>
          <w:color w:val="000000" w:themeColor="text1"/>
          <w:szCs w:val="28"/>
        </w:rPr>
        <w:t xml:space="preserve"> T</w:t>
      </w:r>
      <w:r w:rsidR="000436AB" w:rsidRPr="00043DB3">
        <w:rPr>
          <w:color w:val="000000" w:themeColor="text1"/>
          <w:szCs w:val="28"/>
        </w:rPr>
        <w:t>hư ký</w:t>
      </w:r>
      <w:r w:rsidR="00EB1D09" w:rsidRPr="00043DB3">
        <w:rPr>
          <w:color w:val="000000" w:themeColor="text1"/>
          <w:szCs w:val="28"/>
        </w:rPr>
        <w:t xml:space="preserve">: </w:t>
      </w:r>
      <w:r w:rsidR="001705A8" w:rsidRPr="00043DB3">
        <w:rPr>
          <w:color w:val="000000" w:themeColor="text1"/>
          <w:szCs w:val="28"/>
        </w:rPr>
        <w:t>190</w:t>
      </w:r>
      <w:r w:rsidR="00EB1D09" w:rsidRPr="00043DB3">
        <w:rPr>
          <w:color w:val="000000" w:themeColor="text1"/>
          <w:szCs w:val="28"/>
        </w:rPr>
        <w:t>.000đồng/người/ngày</w:t>
      </w:r>
      <w:r w:rsidR="0005318C" w:rsidRPr="00043DB3">
        <w:rPr>
          <w:color w:val="000000" w:themeColor="text1"/>
          <w:szCs w:val="28"/>
        </w:rPr>
        <w:t>.</w:t>
      </w:r>
    </w:p>
    <w:p w14:paraId="1D949267" w14:textId="678DFBD4" w:rsidR="005C39C8" w:rsidRPr="00043DB3" w:rsidRDefault="005C39C8" w:rsidP="00043DB3">
      <w:pPr>
        <w:widowControl w:val="0"/>
        <w:spacing w:before="120" w:after="120" w:line="340" w:lineRule="exact"/>
        <w:ind w:right="-29" w:firstLine="720"/>
        <w:jc w:val="both"/>
        <w:rPr>
          <w:szCs w:val="28"/>
        </w:rPr>
      </w:pPr>
      <w:r w:rsidRPr="00043DB3">
        <w:rPr>
          <w:szCs w:val="28"/>
        </w:rPr>
        <w:t>- Chi bồi dưỡng cho các thành viên gián tiếp</w:t>
      </w:r>
      <w:r w:rsidR="003662D1" w:rsidRPr="00043DB3">
        <w:rPr>
          <w:szCs w:val="28"/>
        </w:rPr>
        <w:t>: Đề xuất vận dụng mức chi theo Nghị quyết số 12/2021/NQ-HĐ</w:t>
      </w:r>
      <w:r w:rsidR="00E4182E" w:rsidRPr="00043DB3">
        <w:rPr>
          <w:szCs w:val="28"/>
        </w:rPr>
        <w:t>ND</w:t>
      </w:r>
      <w:r w:rsidR="003662D1" w:rsidRPr="00043DB3">
        <w:rPr>
          <w:szCs w:val="28"/>
        </w:rPr>
        <w:t xml:space="preserve"> ngày 07/12/2021 của Hội đồng nhân dân tỉnh (áp dụng bằng 90% mức chi tại khoản 2 Điều 2 Nghị quyết này), cụ thể:</w:t>
      </w:r>
    </w:p>
    <w:p w14:paraId="7BACFECA" w14:textId="3B280F4B" w:rsidR="005C39C8" w:rsidRPr="00043DB3" w:rsidRDefault="003662D1" w:rsidP="00043DB3">
      <w:pPr>
        <w:widowControl w:val="0"/>
        <w:spacing w:before="120" w:after="120" w:line="340" w:lineRule="exact"/>
        <w:ind w:right="-29" w:firstLine="720"/>
        <w:jc w:val="both"/>
        <w:rPr>
          <w:szCs w:val="28"/>
        </w:rPr>
      </w:pPr>
      <w:r w:rsidRPr="00043DB3">
        <w:rPr>
          <w:szCs w:val="28"/>
        </w:rPr>
        <w:t>+ Công an bảo vệ vòng trong</w:t>
      </w:r>
      <w:r w:rsidR="0056390D" w:rsidRPr="00043DB3">
        <w:rPr>
          <w:szCs w:val="28"/>
        </w:rPr>
        <w:t xml:space="preserve"> 24</w:t>
      </w:r>
      <w:r w:rsidR="00EA7EE6" w:rsidRPr="00043DB3">
        <w:rPr>
          <w:szCs w:val="28"/>
        </w:rPr>
        <w:t>h</w:t>
      </w:r>
      <w:r w:rsidR="0056390D" w:rsidRPr="00043DB3">
        <w:rPr>
          <w:szCs w:val="28"/>
        </w:rPr>
        <w:t>/24</w:t>
      </w:r>
      <w:r w:rsidR="00EA7EE6" w:rsidRPr="00043DB3">
        <w:rPr>
          <w:szCs w:val="28"/>
        </w:rPr>
        <w:t>h (cách ly)</w:t>
      </w:r>
      <w:r w:rsidRPr="00043DB3">
        <w:rPr>
          <w:szCs w:val="28"/>
        </w:rPr>
        <w:t xml:space="preserve">: </w:t>
      </w:r>
      <w:r w:rsidR="00EA7EE6" w:rsidRPr="00043DB3">
        <w:rPr>
          <w:szCs w:val="28"/>
        </w:rPr>
        <w:t>230.000đồng/người/ngày;</w:t>
      </w:r>
    </w:p>
    <w:p w14:paraId="3DB11FA1" w14:textId="0ABE5FB5" w:rsidR="00EA7EE6" w:rsidRPr="00043DB3" w:rsidRDefault="00EA7EE6" w:rsidP="00043DB3">
      <w:pPr>
        <w:widowControl w:val="0"/>
        <w:spacing w:before="120" w:after="120" w:line="340" w:lineRule="exact"/>
        <w:ind w:right="-29" w:firstLine="720"/>
        <w:jc w:val="both"/>
        <w:rPr>
          <w:szCs w:val="28"/>
        </w:rPr>
      </w:pPr>
      <w:r w:rsidRPr="00043DB3">
        <w:rPr>
          <w:szCs w:val="28"/>
        </w:rPr>
        <w:t xml:space="preserve">+ Công an bảo vệ vòng </w:t>
      </w:r>
      <w:r w:rsidR="008F0E52" w:rsidRPr="00043DB3">
        <w:rPr>
          <w:szCs w:val="28"/>
        </w:rPr>
        <w:t>ngoài</w:t>
      </w:r>
      <w:r w:rsidRPr="00043DB3">
        <w:rPr>
          <w:szCs w:val="28"/>
        </w:rPr>
        <w:t xml:space="preserve">: </w:t>
      </w:r>
      <w:r w:rsidR="008F0E52" w:rsidRPr="00043DB3">
        <w:rPr>
          <w:szCs w:val="28"/>
        </w:rPr>
        <w:t>190</w:t>
      </w:r>
      <w:r w:rsidRPr="00043DB3">
        <w:rPr>
          <w:szCs w:val="28"/>
        </w:rPr>
        <w:t>.000đồng/người/ngày;</w:t>
      </w:r>
    </w:p>
    <w:p w14:paraId="7B0689EF" w14:textId="77777777" w:rsidR="008F0E52" w:rsidRPr="00043DB3" w:rsidRDefault="008F0E52" w:rsidP="00043DB3">
      <w:pPr>
        <w:widowControl w:val="0"/>
        <w:spacing w:before="120" w:after="120" w:line="340" w:lineRule="exact"/>
        <w:ind w:right="-29" w:firstLine="720"/>
        <w:jc w:val="both"/>
        <w:rPr>
          <w:szCs w:val="28"/>
        </w:rPr>
      </w:pPr>
      <w:r w:rsidRPr="00043DB3">
        <w:rPr>
          <w:szCs w:val="28"/>
        </w:rPr>
        <w:t>+ Nhân viên y tế: 190.000đồng/người/ngày;</w:t>
      </w:r>
    </w:p>
    <w:p w14:paraId="4D912F10" w14:textId="6CD0C099" w:rsidR="0060619F" w:rsidRPr="00043DB3" w:rsidRDefault="008F0E52" w:rsidP="00043DB3">
      <w:pPr>
        <w:widowControl w:val="0"/>
        <w:spacing w:before="120" w:after="120" w:line="340" w:lineRule="exact"/>
        <w:ind w:right="-29" w:firstLine="720"/>
        <w:jc w:val="both"/>
        <w:rPr>
          <w:szCs w:val="28"/>
        </w:rPr>
      </w:pPr>
      <w:r w:rsidRPr="00043DB3">
        <w:rPr>
          <w:szCs w:val="28"/>
        </w:rPr>
        <w:t xml:space="preserve">+ Nhân viên phục vụ: </w:t>
      </w:r>
      <w:r w:rsidR="0060619F" w:rsidRPr="00043DB3">
        <w:rPr>
          <w:szCs w:val="28"/>
        </w:rPr>
        <w:t>120.000đồng/người/ngày</w:t>
      </w:r>
      <w:r w:rsidR="0096569D" w:rsidRPr="00043DB3">
        <w:rPr>
          <w:szCs w:val="28"/>
        </w:rPr>
        <w:t>.</w:t>
      </w:r>
    </w:p>
    <w:p w14:paraId="4876D73C" w14:textId="678B86D6" w:rsidR="0053417B" w:rsidRPr="00950B3E" w:rsidRDefault="000C0173" w:rsidP="00043DB3">
      <w:pPr>
        <w:widowControl w:val="0"/>
        <w:spacing w:before="120" w:after="120" w:line="340" w:lineRule="exact"/>
        <w:ind w:right="-29" w:firstLine="720"/>
        <w:jc w:val="both"/>
        <w:rPr>
          <w:szCs w:val="28"/>
        </w:rPr>
      </w:pPr>
      <w:r w:rsidRPr="00950B3E">
        <w:rPr>
          <w:iCs/>
          <w:szCs w:val="28"/>
        </w:rPr>
        <w:t>d)</w:t>
      </w:r>
      <w:r w:rsidR="00A3653B" w:rsidRPr="00950B3E">
        <w:rPr>
          <w:iCs/>
          <w:szCs w:val="28"/>
        </w:rPr>
        <w:t xml:space="preserve"> Các nhiệm vụ khác</w:t>
      </w:r>
      <w:r w:rsidR="00E208CC" w:rsidRPr="00950B3E">
        <w:rPr>
          <w:szCs w:val="28"/>
        </w:rPr>
        <w:t xml:space="preserve">: </w:t>
      </w:r>
    </w:p>
    <w:p w14:paraId="25F39FE3" w14:textId="17405EF8" w:rsidR="00A37721" w:rsidRPr="00043DB3" w:rsidRDefault="00AD7C5D" w:rsidP="00043DB3">
      <w:pPr>
        <w:widowControl w:val="0"/>
        <w:spacing w:before="120" w:after="120" w:line="340" w:lineRule="exact"/>
        <w:ind w:right="-29" w:firstLine="720"/>
        <w:jc w:val="both"/>
        <w:rPr>
          <w:bCs/>
          <w:szCs w:val="28"/>
        </w:rPr>
      </w:pPr>
      <w:r w:rsidRPr="00043DB3">
        <w:rPr>
          <w:szCs w:val="28"/>
        </w:rPr>
        <w:t>Để bảo đảm phục vụ các kỳ tuyển dụng, nâng ngạch, thăng hạng thì cơ quan, đơn vị có thẩm quyền tuyển dụng và Hội đồng phải chuẩn bị các điều kiện cơ sở vật chất, trang thiết bị,…</w:t>
      </w:r>
      <w:r w:rsidR="00667244" w:rsidRPr="00043DB3">
        <w:rPr>
          <w:szCs w:val="28"/>
        </w:rPr>
        <w:t xml:space="preserve">để phục vụ các kỳ thi; các nội dung này </w:t>
      </w:r>
      <w:r w:rsidR="005F530C" w:rsidRPr="00043DB3">
        <w:rPr>
          <w:szCs w:val="28"/>
        </w:rPr>
        <w:t xml:space="preserve">không quy định mức chi mà thực hiện theo </w:t>
      </w:r>
      <w:r w:rsidR="005F530C" w:rsidRPr="00043DB3">
        <w:rPr>
          <w:bCs/>
          <w:szCs w:val="28"/>
        </w:rPr>
        <w:t xml:space="preserve">hợp </w:t>
      </w:r>
      <w:r w:rsidR="005F530C" w:rsidRPr="00043DB3">
        <w:rPr>
          <w:rFonts w:hint="eastAsia"/>
          <w:bCs/>
          <w:szCs w:val="28"/>
        </w:rPr>
        <w:t>đ</w:t>
      </w:r>
      <w:r w:rsidR="005F530C" w:rsidRPr="00043DB3">
        <w:rPr>
          <w:bCs/>
          <w:szCs w:val="28"/>
        </w:rPr>
        <w:t xml:space="preserve">ồng, hóa </w:t>
      </w:r>
      <w:r w:rsidR="005F530C" w:rsidRPr="00043DB3">
        <w:rPr>
          <w:rFonts w:hint="eastAsia"/>
          <w:bCs/>
          <w:szCs w:val="28"/>
        </w:rPr>
        <w:t>đơ</w:t>
      </w:r>
      <w:r w:rsidR="005F530C" w:rsidRPr="00043DB3">
        <w:rPr>
          <w:bCs/>
          <w:szCs w:val="28"/>
        </w:rPr>
        <w:t xml:space="preserve">n, chứng từ hợp pháp, hợp lệ và theo các quy </w:t>
      </w:r>
      <w:r w:rsidR="005F530C" w:rsidRPr="00043DB3">
        <w:rPr>
          <w:rFonts w:hint="eastAsia"/>
          <w:bCs/>
          <w:szCs w:val="28"/>
        </w:rPr>
        <w:t>đ</w:t>
      </w:r>
      <w:r w:rsidR="005F530C" w:rsidRPr="00043DB3">
        <w:rPr>
          <w:bCs/>
          <w:szCs w:val="28"/>
        </w:rPr>
        <w:t xml:space="preserve">ịnh hiện hành. Do vậy, Ủy ban nhân dân tỉnh đề xuất </w:t>
      </w:r>
      <w:r w:rsidR="008D0A89" w:rsidRPr="00043DB3">
        <w:rPr>
          <w:bCs/>
          <w:szCs w:val="28"/>
        </w:rPr>
        <w:t xml:space="preserve">như sau: </w:t>
      </w:r>
      <w:r w:rsidR="002C468B" w:rsidRPr="00043DB3">
        <w:rPr>
          <w:szCs w:val="28"/>
        </w:rPr>
        <w:t xml:space="preserve">Chi </w:t>
      </w:r>
      <w:r w:rsidR="007C5562" w:rsidRPr="00043DB3">
        <w:rPr>
          <w:szCs w:val="28"/>
        </w:rPr>
        <w:t xml:space="preserve">thông báo trên phương tiện thông tin đại chúng về chỉ tiêu, điều kiện tuyển dụng công </w:t>
      </w:r>
      <w:r w:rsidR="007C5562" w:rsidRPr="00043DB3">
        <w:rPr>
          <w:szCs w:val="28"/>
        </w:rPr>
        <w:lastRenderedPageBreak/>
        <w:t xml:space="preserve">chức, viên chức; </w:t>
      </w:r>
      <w:r w:rsidR="00A550A3" w:rsidRPr="00043DB3">
        <w:rPr>
          <w:bCs/>
          <w:szCs w:val="28"/>
        </w:rPr>
        <w:t>chi thuê c</w:t>
      </w:r>
      <w:r w:rsidR="00A550A3" w:rsidRPr="00043DB3">
        <w:rPr>
          <w:rFonts w:hint="eastAsia"/>
          <w:bCs/>
          <w:szCs w:val="28"/>
        </w:rPr>
        <w:t>ơ</w:t>
      </w:r>
      <w:r w:rsidR="00A550A3" w:rsidRPr="00043DB3">
        <w:rPr>
          <w:bCs/>
          <w:szCs w:val="28"/>
        </w:rPr>
        <w:t xml:space="preserve"> sở vật chất</w:t>
      </w:r>
      <w:r w:rsidR="00982456" w:rsidRPr="00043DB3">
        <w:rPr>
          <w:bCs/>
          <w:szCs w:val="28"/>
        </w:rPr>
        <w:t xml:space="preserve"> (hội trường, phòng thi, phòng nghỉ, phòng làm việc</w:t>
      </w:r>
      <w:r w:rsidR="00963872" w:rsidRPr="00043DB3">
        <w:rPr>
          <w:bCs/>
          <w:szCs w:val="28"/>
        </w:rPr>
        <w:t>,…</w:t>
      </w:r>
      <w:r w:rsidR="00982456" w:rsidRPr="00043DB3">
        <w:rPr>
          <w:bCs/>
          <w:szCs w:val="28"/>
        </w:rPr>
        <w:t>)</w:t>
      </w:r>
      <w:r w:rsidR="004829B7" w:rsidRPr="00043DB3">
        <w:rPr>
          <w:bCs/>
          <w:szCs w:val="28"/>
        </w:rPr>
        <w:t xml:space="preserve">; </w:t>
      </w:r>
      <w:r w:rsidR="00A550A3" w:rsidRPr="00043DB3">
        <w:rPr>
          <w:bCs/>
          <w:szCs w:val="28"/>
        </w:rPr>
        <w:t>trang thiết bị</w:t>
      </w:r>
      <w:r w:rsidR="00CE74F6" w:rsidRPr="00043DB3">
        <w:rPr>
          <w:bCs/>
          <w:szCs w:val="28"/>
        </w:rPr>
        <w:t>, văn phòng phẩm</w:t>
      </w:r>
      <w:r w:rsidR="003B6CFB" w:rsidRPr="00043DB3">
        <w:rPr>
          <w:bCs/>
          <w:szCs w:val="28"/>
        </w:rPr>
        <w:t xml:space="preserve">; tiền </w:t>
      </w:r>
      <w:r w:rsidR="003B6CFB" w:rsidRPr="00043DB3">
        <w:rPr>
          <w:rFonts w:hint="eastAsia"/>
          <w:bCs/>
          <w:szCs w:val="28"/>
        </w:rPr>
        <w:t>ă</w:t>
      </w:r>
      <w:r w:rsidR="003B6CFB" w:rsidRPr="00043DB3">
        <w:rPr>
          <w:bCs/>
          <w:szCs w:val="28"/>
        </w:rPr>
        <w:t>n, n</w:t>
      </w:r>
      <w:r w:rsidR="003B6CFB" w:rsidRPr="00043DB3">
        <w:rPr>
          <w:rFonts w:hint="eastAsia"/>
          <w:bCs/>
          <w:szCs w:val="28"/>
        </w:rPr>
        <w:t>ư</w:t>
      </w:r>
      <w:r w:rsidR="003B6CFB" w:rsidRPr="00043DB3">
        <w:rPr>
          <w:bCs/>
          <w:szCs w:val="28"/>
        </w:rPr>
        <w:t xml:space="preserve">ớc uống, giải khát giữa giờ của thành viên Hội đồng và các Ban giúp việc của Hội </w:t>
      </w:r>
      <w:r w:rsidR="003B6CFB" w:rsidRPr="00043DB3">
        <w:rPr>
          <w:rFonts w:hint="eastAsia"/>
          <w:bCs/>
          <w:szCs w:val="28"/>
        </w:rPr>
        <w:t>đ</w:t>
      </w:r>
      <w:r w:rsidR="003B6CFB" w:rsidRPr="00043DB3">
        <w:rPr>
          <w:bCs/>
          <w:szCs w:val="28"/>
        </w:rPr>
        <w:t>ồng, Ban giám sát, công an, y tế, nhân viên phục vụ</w:t>
      </w:r>
      <w:r w:rsidR="000D5E99" w:rsidRPr="00043DB3">
        <w:rPr>
          <w:bCs/>
          <w:szCs w:val="28"/>
        </w:rPr>
        <w:t xml:space="preserve"> và các nội dung </w:t>
      </w:r>
      <w:r w:rsidR="00E17631" w:rsidRPr="00043DB3">
        <w:rPr>
          <w:bCs/>
          <w:szCs w:val="28"/>
        </w:rPr>
        <w:t xml:space="preserve">khác phục vụ trực tiếp cho công tác tuyển dụng, nâng ngạch, thăng hạng </w:t>
      </w:r>
      <w:r w:rsidR="00954B90" w:rsidRPr="00043DB3">
        <w:rPr>
          <w:bCs/>
          <w:szCs w:val="28"/>
        </w:rPr>
        <w:t xml:space="preserve">theo </w:t>
      </w:r>
      <w:r w:rsidR="00FE1DE6" w:rsidRPr="00043DB3">
        <w:rPr>
          <w:bCs/>
          <w:szCs w:val="28"/>
        </w:rPr>
        <w:t xml:space="preserve">thực tế phát sinh, hợp </w:t>
      </w:r>
      <w:r w:rsidR="00FE1DE6" w:rsidRPr="00043DB3">
        <w:rPr>
          <w:rFonts w:hint="eastAsia"/>
          <w:bCs/>
          <w:szCs w:val="28"/>
        </w:rPr>
        <w:t>đ</w:t>
      </w:r>
      <w:r w:rsidR="00FE1DE6" w:rsidRPr="00043DB3">
        <w:rPr>
          <w:bCs/>
          <w:szCs w:val="28"/>
        </w:rPr>
        <w:t xml:space="preserve">ồng, hóa </w:t>
      </w:r>
      <w:r w:rsidR="00FE1DE6" w:rsidRPr="00043DB3">
        <w:rPr>
          <w:rFonts w:hint="eastAsia"/>
          <w:bCs/>
          <w:szCs w:val="28"/>
        </w:rPr>
        <w:t>đơ</w:t>
      </w:r>
      <w:r w:rsidR="00FE1DE6" w:rsidRPr="00043DB3">
        <w:rPr>
          <w:bCs/>
          <w:szCs w:val="28"/>
        </w:rPr>
        <w:t xml:space="preserve">n, chứng từ hợp pháp, hợp lệ </w:t>
      </w:r>
      <w:r w:rsidR="00A020C5" w:rsidRPr="00043DB3">
        <w:rPr>
          <w:bCs/>
          <w:szCs w:val="28"/>
        </w:rPr>
        <w:t xml:space="preserve">và </w:t>
      </w:r>
      <w:r w:rsidR="00FE1DE6" w:rsidRPr="00043DB3">
        <w:rPr>
          <w:bCs/>
          <w:szCs w:val="28"/>
        </w:rPr>
        <w:t xml:space="preserve">theo </w:t>
      </w:r>
      <w:r w:rsidR="00A020C5" w:rsidRPr="00043DB3">
        <w:rPr>
          <w:bCs/>
          <w:szCs w:val="28"/>
        </w:rPr>
        <w:t xml:space="preserve">các </w:t>
      </w:r>
      <w:r w:rsidR="00FE1DE6" w:rsidRPr="00043DB3">
        <w:rPr>
          <w:bCs/>
          <w:szCs w:val="28"/>
        </w:rPr>
        <w:t xml:space="preserve">quy </w:t>
      </w:r>
      <w:r w:rsidR="00FE1DE6" w:rsidRPr="00043DB3">
        <w:rPr>
          <w:rFonts w:hint="eastAsia"/>
          <w:bCs/>
          <w:szCs w:val="28"/>
        </w:rPr>
        <w:t>đ</w:t>
      </w:r>
      <w:r w:rsidR="00FE1DE6" w:rsidRPr="00043DB3">
        <w:rPr>
          <w:bCs/>
          <w:szCs w:val="28"/>
        </w:rPr>
        <w:t>ịnh hiện hành</w:t>
      </w:r>
      <w:r w:rsidR="000A2F20" w:rsidRPr="00043DB3">
        <w:rPr>
          <w:bCs/>
          <w:szCs w:val="28"/>
        </w:rPr>
        <w:t>.</w:t>
      </w:r>
    </w:p>
    <w:p w14:paraId="2C121111" w14:textId="36346C09" w:rsidR="007F0E6A" w:rsidRPr="00043DB3" w:rsidRDefault="000C0173" w:rsidP="00043DB3">
      <w:pPr>
        <w:widowControl w:val="0"/>
        <w:spacing w:before="120" w:after="120" w:line="340" w:lineRule="exact"/>
        <w:ind w:right="-29" w:firstLine="720"/>
        <w:jc w:val="both"/>
        <w:rPr>
          <w:bCs/>
          <w:szCs w:val="28"/>
        </w:rPr>
      </w:pPr>
      <w:r w:rsidRPr="00043DB3">
        <w:rPr>
          <w:bCs/>
          <w:color w:val="000000" w:themeColor="text1"/>
          <w:szCs w:val="28"/>
        </w:rPr>
        <w:t>đ)</w:t>
      </w:r>
      <w:r w:rsidR="009C2F5B" w:rsidRPr="00043DB3">
        <w:rPr>
          <w:bCs/>
          <w:color w:val="000000" w:themeColor="text1"/>
          <w:szCs w:val="28"/>
        </w:rPr>
        <w:t xml:space="preserve"> </w:t>
      </w:r>
      <w:r w:rsidR="00EC4166" w:rsidRPr="00043DB3">
        <w:rPr>
          <w:bCs/>
          <w:szCs w:val="28"/>
        </w:rPr>
        <w:t>T</w:t>
      </w:r>
      <w:r w:rsidR="00ED5023" w:rsidRPr="00043DB3">
        <w:rPr>
          <w:bCs/>
          <w:szCs w:val="28"/>
        </w:rPr>
        <w:t>rường hợp cơ quan, đơn vị có thẩm quyền tuyển dụng công chức, viên chức, thi nâng ngạch công chức, thăng hạng chức danh nghề nghiệp viên chức xem xét, quyết định việc hợp đồng v</w:t>
      </w:r>
      <w:r w:rsidR="005976EB" w:rsidRPr="00043DB3">
        <w:rPr>
          <w:bCs/>
          <w:szCs w:val="28"/>
        </w:rPr>
        <w:t>ới c</w:t>
      </w:r>
      <w:r w:rsidR="005976EB" w:rsidRPr="00043DB3">
        <w:rPr>
          <w:rFonts w:hint="eastAsia"/>
          <w:bCs/>
          <w:szCs w:val="28"/>
        </w:rPr>
        <w:t>ơ</w:t>
      </w:r>
      <w:r w:rsidR="005976EB" w:rsidRPr="00043DB3">
        <w:rPr>
          <w:bCs/>
          <w:szCs w:val="28"/>
        </w:rPr>
        <w:t xml:space="preserve"> quan, tổ chức, </w:t>
      </w:r>
      <w:r w:rsidR="005976EB" w:rsidRPr="00043DB3">
        <w:rPr>
          <w:rFonts w:hint="eastAsia"/>
          <w:bCs/>
          <w:szCs w:val="28"/>
        </w:rPr>
        <w:t>đơ</w:t>
      </w:r>
      <w:r w:rsidR="005976EB" w:rsidRPr="00043DB3">
        <w:rPr>
          <w:bCs/>
          <w:szCs w:val="28"/>
        </w:rPr>
        <w:t xml:space="preserve">n vị </w:t>
      </w:r>
      <w:r w:rsidR="005976EB" w:rsidRPr="00043DB3">
        <w:rPr>
          <w:rFonts w:hint="eastAsia"/>
          <w:bCs/>
          <w:szCs w:val="28"/>
        </w:rPr>
        <w:t>đá</w:t>
      </w:r>
      <w:r w:rsidR="005976EB" w:rsidRPr="00043DB3">
        <w:rPr>
          <w:bCs/>
          <w:szCs w:val="28"/>
        </w:rPr>
        <w:t xml:space="preserve">p ứng </w:t>
      </w:r>
      <w:r w:rsidR="005976EB" w:rsidRPr="00043DB3">
        <w:rPr>
          <w:rFonts w:hint="eastAsia"/>
          <w:bCs/>
          <w:szCs w:val="28"/>
        </w:rPr>
        <w:t>đ</w:t>
      </w:r>
      <w:r w:rsidR="005976EB" w:rsidRPr="00043DB3">
        <w:rPr>
          <w:bCs/>
          <w:szCs w:val="28"/>
        </w:rPr>
        <w:t xml:space="preserve">ủ </w:t>
      </w:r>
      <w:r w:rsidR="005976EB" w:rsidRPr="00043DB3">
        <w:rPr>
          <w:rFonts w:hint="eastAsia"/>
          <w:bCs/>
          <w:szCs w:val="28"/>
        </w:rPr>
        <w:t>đ</w:t>
      </w:r>
      <w:r w:rsidR="005976EB" w:rsidRPr="00043DB3">
        <w:rPr>
          <w:bCs/>
          <w:szCs w:val="28"/>
        </w:rPr>
        <w:t xml:space="preserve">iều kiện </w:t>
      </w:r>
      <w:r w:rsidR="005976EB" w:rsidRPr="00043DB3">
        <w:rPr>
          <w:rFonts w:hint="eastAsia"/>
          <w:bCs/>
          <w:szCs w:val="28"/>
        </w:rPr>
        <w:t>đ</w:t>
      </w:r>
      <w:r w:rsidR="005976EB" w:rsidRPr="00043DB3">
        <w:rPr>
          <w:bCs/>
          <w:szCs w:val="28"/>
        </w:rPr>
        <w:t xml:space="preserve">ể xây dựng </w:t>
      </w:r>
      <w:r w:rsidR="005976EB" w:rsidRPr="00043DB3">
        <w:rPr>
          <w:rFonts w:hint="eastAsia"/>
          <w:bCs/>
          <w:szCs w:val="28"/>
        </w:rPr>
        <w:t>đ</w:t>
      </w:r>
      <w:r w:rsidR="005976EB" w:rsidRPr="00043DB3">
        <w:rPr>
          <w:bCs/>
          <w:szCs w:val="28"/>
        </w:rPr>
        <w:t>ề thi, h</w:t>
      </w:r>
      <w:r w:rsidR="005976EB" w:rsidRPr="00043DB3">
        <w:rPr>
          <w:rFonts w:hint="eastAsia"/>
          <w:bCs/>
          <w:szCs w:val="28"/>
        </w:rPr>
        <w:t>ư</w:t>
      </w:r>
      <w:r w:rsidR="005976EB" w:rsidRPr="00043DB3">
        <w:rPr>
          <w:bCs/>
          <w:szCs w:val="28"/>
        </w:rPr>
        <w:t xml:space="preserve">ớng dẫn chấm thi, </w:t>
      </w:r>
      <w:r w:rsidR="005976EB" w:rsidRPr="00043DB3">
        <w:rPr>
          <w:rFonts w:hint="eastAsia"/>
          <w:bCs/>
          <w:szCs w:val="28"/>
        </w:rPr>
        <w:t>đá</w:t>
      </w:r>
      <w:r w:rsidR="005976EB" w:rsidRPr="00043DB3">
        <w:rPr>
          <w:bCs/>
          <w:szCs w:val="28"/>
        </w:rPr>
        <w:t xml:space="preserve">p án chấm thi </w:t>
      </w:r>
      <w:r w:rsidR="005674CC" w:rsidRPr="00043DB3">
        <w:rPr>
          <w:bCs/>
          <w:szCs w:val="28"/>
        </w:rPr>
        <w:t xml:space="preserve">thì thực hiện </w:t>
      </w:r>
      <w:r w:rsidR="00592AD8" w:rsidRPr="00043DB3">
        <w:rPr>
          <w:bCs/>
          <w:szCs w:val="28"/>
        </w:rPr>
        <w:t xml:space="preserve">theo </w:t>
      </w:r>
      <w:r w:rsidR="005674CC" w:rsidRPr="00043DB3">
        <w:rPr>
          <w:bCs/>
          <w:szCs w:val="28"/>
        </w:rPr>
        <w:t xml:space="preserve">hợp đồng </w:t>
      </w:r>
      <w:r w:rsidR="001C6C42" w:rsidRPr="00043DB3">
        <w:rPr>
          <w:bCs/>
          <w:szCs w:val="28"/>
        </w:rPr>
        <w:t xml:space="preserve">thực tế, hóa </w:t>
      </w:r>
      <w:r w:rsidR="001C6C42" w:rsidRPr="00043DB3">
        <w:rPr>
          <w:rFonts w:hint="eastAsia"/>
          <w:bCs/>
          <w:szCs w:val="28"/>
        </w:rPr>
        <w:t>đơ</w:t>
      </w:r>
      <w:r w:rsidR="001C6C42" w:rsidRPr="00043DB3">
        <w:rPr>
          <w:bCs/>
          <w:szCs w:val="28"/>
        </w:rPr>
        <w:t xml:space="preserve">n, chứng từ hợp lệ (nếu có) theo </w:t>
      </w:r>
      <w:r w:rsidR="001C6C42" w:rsidRPr="00043DB3">
        <w:rPr>
          <w:rFonts w:hint="eastAsia"/>
          <w:bCs/>
          <w:szCs w:val="28"/>
        </w:rPr>
        <w:t>đú</w:t>
      </w:r>
      <w:r w:rsidR="001C6C42" w:rsidRPr="00043DB3">
        <w:rPr>
          <w:bCs/>
          <w:szCs w:val="28"/>
        </w:rPr>
        <w:t xml:space="preserve">ng quy </w:t>
      </w:r>
      <w:r w:rsidR="001C6C42" w:rsidRPr="00043DB3">
        <w:rPr>
          <w:rFonts w:hint="eastAsia"/>
          <w:bCs/>
          <w:szCs w:val="28"/>
        </w:rPr>
        <w:t>đ</w:t>
      </w:r>
      <w:r w:rsidR="001C6C42" w:rsidRPr="00043DB3">
        <w:rPr>
          <w:bCs/>
          <w:szCs w:val="28"/>
        </w:rPr>
        <w:t>ịnh hiện hành</w:t>
      </w:r>
      <w:r w:rsidR="00592AD8" w:rsidRPr="00043DB3">
        <w:rPr>
          <w:bCs/>
          <w:szCs w:val="28"/>
        </w:rPr>
        <w:t>.</w:t>
      </w:r>
      <w:r w:rsidR="00EC4166" w:rsidRPr="00043DB3">
        <w:rPr>
          <w:bCs/>
          <w:szCs w:val="28"/>
        </w:rPr>
        <w:t xml:space="preserve"> </w:t>
      </w:r>
    </w:p>
    <w:p w14:paraId="4957FA2A" w14:textId="68DCB844" w:rsidR="003B6CFB" w:rsidRPr="00043DB3" w:rsidRDefault="00EC4166" w:rsidP="00043DB3">
      <w:pPr>
        <w:widowControl w:val="0"/>
        <w:spacing w:before="120" w:after="120" w:line="340" w:lineRule="exact"/>
        <w:ind w:right="-29" w:firstLine="720"/>
        <w:jc w:val="both"/>
        <w:rPr>
          <w:bCs/>
          <w:szCs w:val="28"/>
        </w:rPr>
      </w:pPr>
      <w:r w:rsidRPr="00043DB3">
        <w:rPr>
          <w:bCs/>
          <w:szCs w:val="28"/>
        </w:rPr>
        <w:t xml:space="preserve">Lý do: </w:t>
      </w:r>
      <w:r w:rsidR="009334FA" w:rsidRPr="00043DB3">
        <w:rPr>
          <w:bCs/>
          <w:szCs w:val="28"/>
        </w:rPr>
        <w:t>Trên thực tế có một số cơ quan, đơn vị được phân cấp tổ chức tuyển dụng theo quy định</w:t>
      </w:r>
      <w:r w:rsidR="00FE5AF0" w:rsidRPr="00043DB3">
        <w:rPr>
          <w:bCs/>
          <w:szCs w:val="28"/>
        </w:rPr>
        <w:t>, t</w:t>
      </w:r>
      <w:r w:rsidR="009334FA" w:rsidRPr="00043DB3">
        <w:rPr>
          <w:bCs/>
          <w:szCs w:val="28"/>
        </w:rPr>
        <w:t>uy nhiên</w:t>
      </w:r>
      <w:r w:rsidR="00FE5AF0" w:rsidRPr="00043DB3">
        <w:rPr>
          <w:bCs/>
          <w:szCs w:val="28"/>
        </w:rPr>
        <w:t xml:space="preserve"> do đơn vị không đủ nguồn nhân lực để tổ chức kỳ tuyển dụng, nâng ngạch, thăng hạng thì </w:t>
      </w:r>
      <w:r w:rsidR="00D872ED" w:rsidRPr="00043DB3">
        <w:rPr>
          <w:bCs/>
          <w:szCs w:val="28"/>
        </w:rPr>
        <w:t>thực hiện hợp đồng với các cơ quan, tổ chức đáp ứng đủ kiện xây dựng đề thi, hướng dẫn chấm thi, đáp án chấm thi (</w:t>
      </w:r>
      <w:r w:rsidR="00FE5AF0" w:rsidRPr="00043DB3">
        <w:rPr>
          <w:bCs/>
          <w:szCs w:val="28"/>
        </w:rPr>
        <w:t xml:space="preserve">theo quy định tại khoản 7 Điều </w:t>
      </w:r>
      <w:r w:rsidR="00D45C77" w:rsidRPr="00043DB3">
        <w:rPr>
          <w:bCs/>
          <w:szCs w:val="28"/>
        </w:rPr>
        <w:t>3 Quy chế tổ chức thi tuyển, xét tuyển công chức, viên chức, thi nâng ngạch công chức, thi hoặc xét thăng hạng chức danh nghề nghiệp viên chức ban hành kèm theo Thông tư số 06/2020/TT-BNV ngày 02/12/2020 của Bộ trưởng Bộ Nội vụ</w:t>
      </w:r>
      <w:r w:rsidR="00DC6863" w:rsidRPr="00043DB3">
        <w:rPr>
          <w:bCs/>
          <w:szCs w:val="28"/>
        </w:rPr>
        <w:t>, trong đó quy định các đơn vị được phép hợp đồng</w:t>
      </w:r>
      <w:r w:rsidR="00D872ED" w:rsidRPr="00043DB3">
        <w:rPr>
          <w:bCs/>
          <w:szCs w:val="28"/>
        </w:rPr>
        <w:t>)</w:t>
      </w:r>
      <w:r w:rsidR="00F77D75" w:rsidRPr="00043DB3">
        <w:rPr>
          <w:bCs/>
          <w:szCs w:val="28"/>
        </w:rPr>
        <w:t>.</w:t>
      </w:r>
      <w:r w:rsidR="00D872ED" w:rsidRPr="00043DB3">
        <w:rPr>
          <w:bCs/>
          <w:szCs w:val="28"/>
        </w:rPr>
        <w:t xml:space="preserve"> </w:t>
      </w:r>
      <w:r w:rsidR="00B62EBD" w:rsidRPr="00043DB3">
        <w:rPr>
          <w:bCs/>
          <w:szCs w:val="28"/>
        </w:rPr>
        <w:t xml:space="preserve">Thực tế trong năm 2019, năm 2020 </w:t>
      </w:r>
      <w:r w:rsidR="009334FA" w:rsidRPr="00043DB3">
        <w:rPr>
          <w:bCs/>
          <w:szCs w:val="28"/>
        </w:rPr>
        <w:t xml:space="preserve">tỉnh Bắc Kạn đã ký hợp đồng với Viện khoa học tổ chức nhà nước thuộc Bộ Nội vụ </w:t>
      </w:r>
      <w:r w:rsidR="00B62EBD" w:rsidRPr="00043DB3">
        <w:rPr>
          <w:bCs/>
          <w:szCs w:val="28"/>
        </w:rPr>
        <w:t xml:space="preserve">xây dựng </w:t>
      </w:r>
      <w:r w:rsidR="002D0816" w:rsidRPr="00043DB3">
        <w:rPr>
          <w:bCs/>
          <w:szCs w:val="28"/>
        </w:rPr>
        <w:t>đề thi, hướng dẫn chấm thi, đáp án chấm thi (tổ chức thi trắc nghiệm trên máy tính)</w:t>
      </w:r>
      <w:r w:rsidR="009334FA" w:rsidRPr="00043DB3">
        <w:rPr>
          <w:bCs/>
          <w:szCs w:val="28"/>
        </w:rPr>
        <w:t xml:space="preserve">. Do vậy, </w:t>
      </w:r>
      <w:r w:rsidR="00B62EBD" w:rsidRPr="00043DB3">
        <w:rPr>
          <w:bCs/>
          <w:szCs w:val="28"/>
        </w:rPr>
        <w:t>Ủy ban nhân dân</w:t>
      </w:r>
      <w:r w:rsidR="009334FA" w:rsidRPr="00043DB3">
        <w:rPr>
          <w:bCs/>
          <w:szCs w:val="28"/>
        </w:rPr>
        <w:t xml:space="preserve"> tỉnh đề xuất đưa nội dung này vào dự thảo Nghị quyết, trường hợp cấp có thẩm quyền cho chủ trương hợp đồng với các cơ quan, tổ chức, đơn vị đáp ứng đủ điều kiện để xây dựng đề thi, hướng dẫn chấm thi, đáp án chấm thi,...trong các kỳ tuyển dụng, </w:t>
      </w:r>
      <w:r w:rsidR="00F95442" w:rsidRPr="00043DB3">
        <w:rPr>
          <w:bCs/>
          <w:szCs w:val="28"/>
        </w:rPr>
        <w:t xml:space="preserve">thi </w:t>
      </w:r>
      <w:r w:rsidR="009334FA" w:rsidRPr="00043DB3">
        <w:rPr>
          <w:bCs/>
          <w:szCs w:val="28"/>
        </w:rPr>
        <w:t xml:space="preserve">nâng ngạch, thăng hạng thì </w:t>
      </w:r>
      <w:r w:rsidR="0083036D" w:rsidRPr="00043DB3">
        <w:rPr>
          <w:bCs/>
          <w:szCs w:val="28"/>
        </w:rPr>
        <w:t>các cơ quan, đơn vị mới</w:t>
      </w:r>
      <w:r w:rsidR="009334FA" w:rsidRPr="00043DB3">
        <w:rPr>
          <w:bCs/>
          <w:szCs w:val="28"/>
        </w:rPr>
        <w:t xml:space="preserve"> có cơ sở để tổ chức, triển khai thực hiện.</w:t>
      </w:r>
    </w:p>
    <w:p w14:paraId="390ED5BB" w14:textId="16D36AA5" w:rsidR="00F30E30" w:rsidRPr="00043DB3" w:rsidRDefault="001928C7" w:rsidP="00043DB3">
      <w:pPr>
        <w:widowControl w:val="0"/>
        <w:spacing w:before="120" w:after="120" w:line="340" w:lineRule="exact"/>
        <w:ind w:right="-29" w:firstLine="720"/>
        <w:jc w:val="both"/>
        <w:rPr>
          <w:rFonts w:eastAsia="Times New Roman"/>
          <w:color w:val="000000"/>
          <w:szCs w:val="28"/>
        </w:rPr>
      </w:pPr>
      <w:r w:rsidRPr="00043DB3">
        <w:rPr>
          <w:noProof/>
          <w:szCs w:val="28"/>
        </w:rPr>
        <w:t>(</w:t>
      </w:r>
      <w:r w:rsidRPr="00043DB3">
        <w:rPr>
          <w:i/>
          <w:iCs/>
          <w:noProof/>
          <w:szCs w:val="28"/>
        </w:rPr>
        <w:t>t</w:t>
      </w:r>
      <w:r w:rsidR="00F30E30" w:rsidRPr="00043DB3">
        <w:rPr>
          <w:i/>
          <w:iCs/>
          <w:noProof/>
          <w:szCs w:val="28"/>
        </w:rPr>
        <w:t xml:space="preserve">huyết minh chi tiết về nội dung, mức chi tiền công theo Biểu số </w:t>
      </w:r>
      <w:r w:rsidR="003A2FB4" w:rsidRPr="00043DB3">
        <w:rPr>
          <w:i/>
          <w:iCs/>
          <w:noProof/>
          <w:szCs w:val="28"/>
        </w:rPr>
        <w:t>0</w:t>
      </w:r>
      <w:r w:rsidR="007912E8" w:rsidRPr="00043DB3">
        <w:rPr>
          <w:i/>
          <w:iCs/>
          <w:noProof/>
          <w:szCs w:val="28"/>
        </w:rPr>
        <w:t>1</w:t>
      </w:r>
      <w:r w:rsidR="003A2FB4" w:rsidRPr="00043DB3">
        <w:rPr>
          <w:i/>
          <w:iCs/>
          <w:noProof/>
          <w:szCs w:val="28"/>
        </w:rPr>
        <w:t>, 0</w:t>
      </w:r>
      <w:r w:rsidR="007912E8" w:rsidRPr="00043DB3">
        <w:rPr>
          <w:i/>
          <w:iCs/>
          <w:noProof/>
          <w:szCs w:val="28"/>
        </w:rPr>
        <w:t>2</w:t>
      </w:r>
      <w:r w:rsidR="00634B08" w:rsidRPr="00043DB3">
        <w:rPr>
          <w:i/>
          <w:iCs/>
          <w:noProof/>
          <w:szCs w:val="28"/>
        </w:rPr>
        <w:t>, 03</w:t>
      </w:r>
      <w:r w:rsidR="00F30E30" w:rsidRPr="00043DB3">
        <w:rPr>
          <w:i/>
          <w:iCs/>
          <w:noProof/>
          <w:szCs w:val="28"/>
        </w:rPr>
        <w:t xml:space="preserve"> đính kèm</w:t>
      </w:r>
      <w:r w:rsidRPr="00043DB3">
        <w:rPr>
          <w:noProof/>
          <w:szCs w:val="28"/>
        </w:rPr>
        <w:t>)</w:t>
      </w:r>
      <w:r w:rsidR="00F30E30" w:rsidRPr="00043DB3">
        <w:rPr>
          <w:noProof/>
          <w:szCs w:val="28"/>
        </w:rPr>
        <w:t>.</w:t>
      </w:r>
    </w:p>
    <w:p w14:paraId="092A2C05" w14:textId="25030994" w:rsidR="00AD1081" w:rsidRPr="00043DB3" w:rsidRDefault="00D85C0C" w:rsidP="00043DB3">
      <w:pPr>
        <w:spacing w:before="120" w:after="120" w:line="340" w:lineRule="exact"/>
        <w:ind w:firstLine="720"/>
        <w:jc w:val="both"/>
        <w:rPr>
          <w:b/>
          <w:szCs w:val="28"/>
        </w:rPr>
      </w:pPr>
      <w:r w:rsidRPr="00043DB3">
        <w:rPr>
          <w:b/>
          <w:szCs w:val="28"/>
        </w:rPr>
        <w:t>4</w:t>
      </w:r>
      <w:r w:rsidR="00AD1081" w:rsidRPr="00043DB3">
        <w:rPr>
          <w:b/>
          <w:szCs w:val="28"/>
        </w:rPr>
        <w:t>. Kinh phí thực hiện</w:t>
      </w:r>
    </w:p>
    <w:p w14:paraId="31E7816D" w14:textId="1294E6D4" w:rsidR="00935740" w:rsidRPr="00043DB3" w:rsidRDefault="00D85C0C" w:rsidP="00043DB3">
      <w:pPr>
        <w:spacing w:before="120" w:after="120" w:line="340" w:lineRule="exact"/>
        <w:ind w:firstLine="720"/>
        <w:jc w:val="both"/>
        <w:rPr>
          <w:i/>
          <w:iCs/>
        </w:rPr>
      </w:pPr>
      <w:r w:rsidRPr="00043DB3">
        <w:rPr>
          <w:i/>
          <w:iCs/>
        </w:rPr>
        <w:t>4.1</w:t>
      </w:r>
      <w:r w:rsidR="003E2D93" w:rsidRPr="00043DB3">
        <w:rPr>
          <w:i/>
          <w:iCs/>
        </w:rPr>
        <w:t>.</w:t>
      </w:r>
      <w:r w:rsidR="00935740" w:rsidRPr="00043DB3">
        <w:rPr>
          <w:i/>
          <w:iCs/>
        </w:rPr>
        <w:t xml:space="preserve"> Dự kiến</w:t>
      </w:r>
      <w:r w:rsidR="003E2D93" w:rsidRPr="00043DB3">
        <w:rPr>
          <w:i/>
          <w:iCs/>
        </w:rPr>
        <w:t xml:space="preserve"> nhu cầu</w:t>
      </w:r>
      <w:r w:rsidR="00935740" w:rsidRPr="00043DB3">
        <w:rPr>
          <w:i/>
          <w:iCs/>
        </w:rPr>
        <w:t xml:space="preserve"> kinh phí khi Nghị quyết ban hành:</w:t>
      </w:r>
    </w:p>
    <w:p w14:paraId="6F0C747F" w14:textId="115D724F" w:rsidR="00185624" w:rsidRPr="00043DB3" w:rsidRDefault="00D24901" w:rsidP="00043DB3">
      <w:pPr>
        <w:spacing w:before="120" w:after="120" w:line="340" w:lineRule="exact"/>
        <w:ind w:firstLine="720"/>
        <w:jc w:val="both"/>
      </w:pPr>
      <w:r w:rsidRPr="00043DB3">
        <w:t>Trong một năm</w:t>
      </w:r>
      <w:r w:rsidR="00B4372C" w:rsidRPr="00043DB3">
        <w:t xml:space="preserve">, dự kiến </w:t>
      </w:r>
      <w:r w:rsidR="00C75705" w:rsidRPr="00043DB3">
        <w:t xml:space="preserve">tỉnh </w:t>
      </w:r>
      <w:r w:rsidR="00B4372C" w:rsidRPr="00043DB3">
        <w:t>tổ chức 03 kỳ tuyển dụng</w:t>
      </w:r>
      <w:r w:rsidR="00C75705" w:rsidRPr="00043DB3">
        <w:t xml:space="preserve"> công chức</w:t>
      </w:r>
      <w:r w:rsidR="00B4372C" w:rsidRPr="00043DB3">
        <w:t xml:space="preserve">, </w:t>
      </w:r>
      <w:r w:rsidR="00771318" w:rsidRPr="00043DB3">
        <w:t xml:space="preserve">thi </w:t>
      </w:r>
      <w:r w:rsidR="00B4372C" w:rsidRPr="00043DB3">
        <w:t>nâng ngạch</w:t>
      </w:r>
      <w:r w:rsidR="00C75705" w:rsidRPr="00043DB3">
        <w:t xml:space="preserve"> công chức</w:t>
      </w:r>
      <w:r w:rsidR="00B4372C" w:rsidRPr="00043DB3">
        <w:t xml:space="preserve">, thăng hạng </w:t>
      </w:r>
      <w:r w:rsidR="00C75705" w:rsidRPr="00043DB3">
        <w:t>viên chức (</w:t>
      </w:r>
      <w:r w:rsidR="004062D0" w:rsidRPr="00043DB3">
        <w:t xml:space="preserve">do Sở Nội vụ </w:t>
      </w:r>
      <w:r w:rsidR="00D84D6F" w:rsidRPr="00043DB3">
        <w:t>chủ trì tổ chức</w:t>
      </w:r>
      <w:r w:rsidR="00C75705" w:rsidRPr="00043DB3">
        <w:t>)</w:t>
      </w:r>
      <w:r w:rsidR="00E228D8" w:rsidRPr="00043DB3">
        <w:t>. T</w:t>
      </w:r>
      <w:r w:rsidR="00C75705" w:rsidRPr="00043DB3">
        <w:t xml:space="preserve">heo định mức </w:t>
      </w:r>
      <w:r w:rsidR="00781EDD" w:rsidRPr="00043DB3">
        <w:t>mới</w:t>
      </w:r>
      <w:r w:rsidR="001D2A63" w:rsidRPr="00043DB3">
        <w:t xml:space="preserve"> </w:t>
      </w:r>
      <w:r w:rsidR="00E228D8" w:rsidRPr="00043DB3">
        <w:t xml:space="preserve">dự kiến </w:t>
      </w:r>
      <w:r w:rsidR="002606E0" w:rsidRPr="00043DB3">
        <w:t>chi cho các thành viên Hội đồng và các Ban giúp việc của Hội đồng</w:t>
      </w:r>
      <w:r w:rsidR="00E228D8" w:rsidRPr="00043DB3">
        <w:t xml:space="preserve"> thì tổng </w:t>
      </w:r>
      <w:r w:rsidR="00781EDD" w:rsidRPr="00043DB3">
        <w:t xml:space="preserve">nhu cầu kinh phí bình quân 01 năm </w:t>
      </w:r>
      <w:r w:rsidR="00E228D8" w:rsidRPr="00043DB3">
        <w:t xml:space="preserve">dự kiến </w:t>
      </w:r>
      <w:r w:rsidR="00781EDD" w:rsidRPr="00043DB3">
        <w:t xml:space="preserve">là </w:t>
      </w:r>
      <w:r w:rsidR="00452548" w:rsidRPr="00043DB3">
        <w:t>1.0</w:t>
      </w:r>
      <w:r w:rsidR="004901E0" w:rsidRPr="00043DB3">
        <w:t>57</w:t>
      </w:r>
      <w:r w:rsidR="00452548" w:rsidRPr="00043DB3">
        <w:t>.</w:t>
      </w:r>
      <w:r w:rsidR="004901E0" w:rsidRPr="00043DB3">
        <w:t>13</w:t>
      </w:r>
      <w:r w:rsidR="00452548" w:rsidRPr="00043DB3">
        <w:t>0</w:t>
      </w:r>
      <w:r w:rsidR="004372D0" w:rsidRPr="00043DB3">
        <w:t>.000</w:t>
      </w:r>
      <w:r w:rsidR="00510817" w:rsidRPr="00043DB3">
        <w:t xml:space="preserve"> đồng</w:t>
      </w:r>
      <w:r w:rsidR="00BC5B1E" w:rsidRPr="00043DB3">
        <w:t xml:space="preserve">, </w:t>
      </w:r>
      <w:r w:rsidR="00510817" w:rsidRPr="00043DB3">
        <w:t xml:space="preserve">tăng so với năm 2021 là </w:t>
      </w:r>
      <w:r w:rsidR="004901E0" w:rsidRPr="00043DB3">
        <w:t>282</w:t>
      </w:r>
      <w:r w:rsidR="009E3D27" w:rsidRPr="00043DB3">
        <w:t>.</w:t>
      </w:r>
      <w:r w:rsidR="004901E0" w:rsidRPr="00043DB3">
        <w:t>77</w:t>
      </w:r>
      <w:r w:rsidR="00A104E5" w:rsidRPr="00043DB3">
        <w:t>5.000</w:t>
      </w:r>
      <w:r w:rsidR="00510817" w:rsidRPr="00043DB3">
        <w:t xml:space="preserve"> đồ</w:t>
      </w:r>
      <w:r w:rsidR="00CA17BB" w:rsidRPr="00043DB3">
        <w:t>ng</w:t>
      </w:r>
      <w:r w:rsidR="002C320B" w:rsidRPr="00043DB3">
        <w:t xml:space="preserve"> (chưa bao gồm kinh phí chi thuê hội trường, phòng thi, ăn, nghỉ, văn phòng phẩm,…</w:t>
      </w:r>
      <w:r w:rsidR="00EF6F01" w:rsidRPr="00043DB3">
        <w:t>do thực hiện theo hóa đơn thực tế)</w:t>
      </w:r>
      <w:r w:rsidR="00CA17BB" w:rsidRPr="00043DB3">
        <w:t>.</w:t>
      </w:r>
      <w:r w:rsidR="00185624" w:rsidRPr="00043DB3">
        <w:t xml:space="preserve"> Với mức kinh phí dự kiến tăng 01 năm cho các kỳ thi tuyển công chức, nâng ngạch, thăng hạng do tỉnh tổ chức là 282.775.000 đồng, ngân sách cấp tỉnh có khả năng cân đối, bố trí khi Nghị quyết được ban hành.</w:t>
      </w:r>
    </w:p>
    <w:p w14:paraId="203A674E" w14:textId="5B1F9C96" w:rsidR="007C4778" w:rsidRPr="00043DB3" w:rsidRDefault="007C4778" w:rsidP="00043DB3">
      <w:pPr>
        <w:spacing w:before="120" w:after="120" w:line="340" w:lineRule="exact"/>
        <w:ind w:firstLine="720"/>
        <w:jc w:val="center"/>
        <w:rPr>
          <w:i/>
        </w:rPr>
      </w:pPr>
      <w:r w:rsidRPr="00043DB3">
        <w:rPr>
          <w:i/>
          <w:szCs w:val="28"/>
        </w:rPr>
        <w:lastRenderedPageBreak/>
        <w:t xml:space="preserve">(Chi tiết theo Biểu </w:t>
      </w:r>
      <w:r w:rsidR="005654D7" w:rsidRPr="00043DB3">
        <w:rPr>
          <w:i/>
          <w:szCs w:val="28"/>
        </w:rPr>
        <w:t>số</w:t>
      </w:r>
      <w:r w:rsidRPr="00043DB3">
        <w:rPr>
          <w:i/>
          <w:szCs w:val="28"/>
        </w:rPr>
        <w:t xml:space="preserve"> 0</w:t>
      </w:r>
      <w:r w:rsidR="00653CD2" w:rsidRPr="00043DB3">
        <w:rPr>
          <w:i/>
          <w:szCs w:val="28"/>
        </w:rPr>
        <w:t>2</w:t>
      </w:r>
      <w:r w:rsidRPr="00043DB3">
        <w:rPr>
          <w:i/>
          <w:szCs w:val="28"/>
        </w:rPr>
        <w:t xml:space="preserve"> kèm theo)</w:t>
      </w:r>
    </w:p>
    <w:p w14:paraId="5FAF21ED" w14:textId="34BF2B13" w:rsidR="008C7FD5" w:rsidRPr="00043DB3" w:rsidRDefault="00D85C0C" w:rsidP="00043DB3">
      <w:pPr>
        <w:spacing w:before="120" w:after="120" w:line="340" w:lineRule="exact"/>
        <w:ind w:firstLine="720"/>
        <w:jc w:val="both"/>
        <w:rPr>
          <w:i/>
          <w:iCs/>
        </w:rPr>
      </w:pPr>
      <w:r w:rsidRPr="00043DB3">
        <w:rPr>
          <w:i/>
          <w:iCs/>
        </w:rPr>
        <w:t>4</w:t>
      </w:r>
      <w:r w:rsidR="004D5CEF" w:rsidRPr="00043DB3">
        <w:rPr>
          <w:i/>
          <w:iCs/>
        </w:rPr>
        <w:t>.</w:t>
      </w:r>
      <w:r w:rsidR="00342064" w:rsidRPr="00043DB3">
        <w:rPr>
          <w:i/>
          <w:iCs/>
        </w:rPr>
        <w:t>2. Nguồn kinh phí</w:t>
      </w:r>
      <w:r w:rsidR="009C5D00" w:rsidRPr="00043DB3">
        <w:rPr>
          <w:i/>
          <w:iCs/>
        </w:rPr>
        <w:t xml:space="preserve"> thực hiện: </w:t>
      </w:r>
    </w:p>
    <w:p w14:paraId="0CC1586D" w14:textId="272A6EF0" w:rsidR="002D6308" w:rsidRPr="00043DB3" w:rsidRDefault="00865E5C" w:rsidP="00043DB3">
      <w:pPr>
        <w:spacing w:before="120" w:after="120" w:line="340" w:lineRule="exact"/>
        <w:ind w:firstLine="720"/>
        <w:jc w:val="both"/>
        <w:rPr>
          <w:color w:val="000000" w:themeColor="text1"/>
          <w:szCs w:val="28"/>
          <w:lang w:val="nb-NO"/>
        </w:rPr>
      </w:pPr>
      <w:r w:rsidRPr="00043DB3">
        <w:rPr>
          <w:color w:val="000000" w:themeColor="text1"/>
        </w:rPr>
        <w:t xml:space="preserve">Từ </w:t>
      </w:r>
      <w:r w:rsidR="002D6308" w:rsidRPr="00043DB3">
        <w:rPr>
          <w:color w:val="000000" w:themeColor="text1"/>
          <w:szCs w:val="28"/>
          <w:lang w:val="nb-NO"/>
        </w:rPr>
        <w:t>nguồn ngân sách địa phương bảo đảm theo phân cấp ngân sách sau khi trừ nguồn thu phí để lại</w:t>
      </w:r>
      <w:r w:rsidR="008820C2" w:rsidRPr="00043DB3">
        <w:rPr>
          <w:color w:val="000000" w:themeColor="text1"/>
          <w:szCs w:val="28"/>
          <w:lang w:val="nb-NO"/>
        </w:rPr>
        <w:t xml:space="preserve">, </w:t>
      </w:r>
      <w:r w:rsidR="00E5738C" w:rsidRPr="00043DB3">
        <w:rPr>
          <w:color w:val="000000" w:themeColor="text1"/>
          <w:szCs w:val="28"/>
          <w:lang w:val="nb-NO"/>
        </w:rPr>
        <w:t>c</w:t>
      </w:r>
      <w:r w:rsidR="008C7FD5" w:rsidRPr="00043DB3">
        <w:rPr>
          <w:color w:val="000000" w:themeColor="text1"/>
          <w:szCs w:val="28"/>
          <w:lang w:val="nb-NO"/>
        </w:rPr>
        <w:t xml:space="preserve">ụ thể: </w:t>
      </w:r>
    </w:p>
    <w:p w14:paraId="04ABC0BF" w14:textId="32F6F007" w:rsidR="0004216E" w:rsidRPr="00043DB3" w:rsidRDefault="008C7FD5" w:rsidP="00043DB3">
      <w:pPr>
        <w:spacing w:before="120" w:after="120" w:line="340" w:lineRule="exact"/>
        <w:ind w:firstLine="720"/>
        <w:jc w:val="both"/>
        <w:rPr>
          <w:color w:val="000000" w:themeColor="text1"/>
          <w:szCs w:val="28"/>
          <w:lang w:val="nb-NO"/>
        </w:rPr>
      </w:pPr>
      <w:r w:rsidRPr="00043DB3">
        <w:rPr>
          <w:color w:val="000000" w:themeColor="text1"/>
          <w:szCs w:val="28"/>
          <w:lang w:val="nb-NO"/>
        </w:rPr>
        <w:t>- Đối với các kỳ tuyển dụng</w:t>
      </w:r>
      <w:r w:rsidR="004D4B49" w:rsidRPr="00043DB3">
        <w:rPr>
          <w:color w:val="000000" w:themeColor="text1"/>
          <w:szCs w:val="28"/>
          <w:lang w:val="nb-NO"/>
        </w:rPr>
        <w:t xml:space="preserve"> công chức</w:t>
      </w:r>
      <w:r w:rsidRPr="00043DB3">
        <w:rPr>
          <w:color w:val="000000" w:themeColor="text1"/>
          <w:szCs w:val="28"/>
          <w:lang w:val="nb-NO"/>
        </w:rPr>
        <w:t xml:space="preserve">, </w:t>
      </w:r>
      <w:r w:rsidR="00771318" w:rsidRPr="00043DB3">
        <w:rPr>
          <w:color w:val="000000" w:themeColor="text1"/>
          <w:szCs w:val="28"/>
          <w:lang w:val="nb-NO"/>
        </w:rPr>
        <w:t xml:space="preserve">thi </w:t>
      </w:r>
      <w:r w:rsidRPr="00043DB3">
        <w:rPr>
          <w:color w:val="000000" w:themeColor="text1"/>
          <w:szCs w:val="28"/>
          <w:lang w:val="nb-NO"/>
        </w:rPr>
        <w:t>nâng ngạch</w:t>
      </w:r>
      <w:r w:rsidR="004D4B49" w:rsidRPr="00043DB3">
        <w:rPr>
          <w:color w:val="000000" w:themeColor="text1"/>
          <w:szCs w:val="28"/>
          <w:lang w:val="nb-NO"/>
        </w:rPr>
        <w:t xml:space="preserve"> công chức</w:t>
      </w:r>
      <w:r w:rsidRPr="00043DB3">
        <w:rPr>
          <w:color w:val="000000" w:themeColor="text1"/>
          <w:szCs w:val="28"/>
          <w:lang w:val="nb-NO"/>
        </w:rPr>
        <w:t xml:space="preserve">, thăng hạng </w:t>
      </w:r>
      <w:r w:rsidR="004D4B49" w:rsidRPr="00043DB3">
        <w:rPr>
          <w:color w:val="000000" w:themeColor="text1"/>
          <w:szCs w:val="28"/>
          <w:lang w:val="nb-NO"/>
        </w:rPr>
        <w:t xml:space="preserve">viên chức </w:t>
      </w:r>
      <w:r w:rsidR="0004216E" w:rsidRPr="00043DB3">
        <w:rPr>
          <w:color w:val="000000" w:themeColor="text1"/>
          <w:szCs w:val="28"/>
          <w:lang w:val="nb-NO"/>
        </w:rPr>
        <w:t>do</w:t>
      </w:r>
      <w:r w:rsidRPr="00043DB3">
        <w:rPr>
          <w:color w:val="000000" w:themeColor="text1"/>
          <w:szCs w:val="28"/>
          <w:lang w:val="nb-NO"/>
        </w:rPr>
        <w:t xml:space="preserve"> Ủy ban nhân dân tỉnh tổ chức thì do ngân sách cấp tỉnh </w:t>
      </w:r>
      <w:r w:rsidR="00426532" w:rsidRPr="00043DB3">
        <w:rPr>
          <w:color w:val="000000" w:themeColor="text1"/>
          <w:szCs w:val="28"/>
          <w:lang w:val="nb-NO"/>
        </w:rPr>
        <w:t>hỗ trợ theo quy định</w:t>
      </w:r>
      <w:r w:rsidRPr="00043DB3">
        <w:rPr>
          <w:color w:val="000000" w:themeColor="text1"/>
          <w:szCs w:val="28"/>
          <w:lang w:val="nb-NO"/>
        </w:rPr>
        <w:t>;</w:t>
      </w:r>
    </w:p>
    <w:p w14:paraId="37A4136B" w14:textId="0D461DF7" w:rsidR="00B96A87" w:rsidRPr="00043DB3" w:rsidRDefault="0004216E" w:rsidP="00043DB3">
      <w:pPr>
        <w:spacing w:before="120" w:after="120" w:line="340" w:lineRule="exact"/>
        <w:ind w:firstLine="720"/>
        <w:jc w:val="both"/>
        <w:rPr>
          <w:color w:val="000000" w:themeColor="text1"/>
          <w:szCs w:val="28"/>
          <w:lang w:val="nb-NO"/>
        </w:rPr>
      </w:pPr>
      <w:r w:rsidRPr="00043DB3">
        <w:rPr>
          <w:color w:val="000000" w:themeColor="text1"/>
          <w:szCs w:val="28"/>
          <w:lang w:val="nb-NO"/>
        </w:rPr>
        <w:t xml:space="preserve">- Đối với các kỳ tuyển dụng </w:t>
      </w:r>
      <w:r w:rsidR="00CE1851" w:rsidRPr="00043DB3">
        <w:rPr>
          <w:color w:val="000000" w:themeColor="text1"/>
          <w:szCs w:val="28"/>
          <w:lang w:val="nb-NO"/>
        </w:rPr>
        <w:t xml:space="preserve">công chức cấp xã, </w:t>
      </w:r>
      <w:r w:rsidRPr="00043DB3">
        <w:rPr>
          <w:color w:val="000000" w:themeColor="text1"/>
          <w:szCs w:val="28"/>
          <w:lang w:val="nb-NO"/>
        </w:rPr>
        <w:t xml:space="preserve">viên chức, thăng hạng </w:t>
      </w:r>
      <w:r w:rsidR="00B96A87" w:rsidRPr="00043DB3">
        <w:rPr>
          <w:color w:val="000000" w:themeColor="text1"/>
          <w:szCs w:val="28"/>
          <w:lang w:val="nb-NO"/>
        </w:rPr>
        <w:t>viên chức</w:t>
      </w:r>
      <w:r w:rsidR="00CE1851" w:rsidRPr="00043DB3">
        <w:rPr>
          <w:color w:val="000000" w:themeColor="text1"/>
          <w:szCs w:val="28"/>
          <w:lang w:val="nb-NO"/>
        </w:rPr>
        <w:t xml:space="preserve"> do </w:t>
      </w:r>
      <w:r w:rsidR="008C7FD5" w:rsidRPr="00043DB3">
        <w:rPr>
          <w:color w:val="000000" w:themeColor="text1"/>
          <w:szCs w:val="28"/>
          <w:lang w:val="nb-NO"/>
        </w:rPr>
        <w:t xml:space="preserve">Ủy ban nhân dân cấp huyện tổ chức thì do ngân sách cấp huyện </w:t>
      </w:r>
      <w:r w:rsidR="00951196" w:rsidRPr="00043DB3">
        <w:rPr>
          <w:color w:val="000000" w:themeColor="text1"/>
          <w:szCs w:val="28"/>
          <w:lang w:val="nb-NO"/>
        </w:rPr>
        <w:t>hỗ trợ theo quy định</w:t>
      </w:r>
      <w:r w:rsidR="008C7FD5" w:rsidRPr="00043DB3">
        <w:rPr>
          <w:color w:val="000000" w:themeColor="text1"/>
          <w:szCs w:val="28"/>
          <w:lang w:val="nb-NO"/>
        </w:rPr>
        <w:t xml:space="preserve">; </w:t>
      </w:r>
    </w:p>
    <w:p w14:paraId="5119FB0D" w14:textId="639C9915" w:rsidR="00B03CC9" w:rsidRPr="00043DB3" w:rsidRDefault="00B96A87" w:rsidP="00043DB3">
      <w:pPr>
        <w:spacing w:before="120" w:after="120" w:line="340" w:lineRule="exact"/>
        <w:ind w:firstLine="720"/>
        <w:jc w:val="both"/>
        <w:rPr>
          <w:color w:val="000000" w:themeColor="text1"/>
          <w:szCs w:val="28"/>
          <w:lang w:val="nb-NO"/>
        </w:rPr>
      </w:pPr>
      <w:r w:rsidRPr="00043DB3">
        <w:rPr>
          <w:color w:val="000000" w:themeColor="text1"/>
          <w:szCs w:val="28"/>
          <w:lang w:val="nb-NO"/>
        </w:rPr>
        <w:t>- Đối với các kỳ tuyển dụng viên chức, thăng hạng viên chức do c</w:t>
      </w:r>
      <w:r w:rsidR="008C7FD5" w:rsidRPr="00043DB3">
        <w:rPr>
          <w:color w:val="000000" w:themeColor="text1"/>
          <w:szCs w:val="28"/>
          <w:lang w:val="nb-NO"/>
        </w:rPr>
        <w:t xml:space="preserve">ác cơ quan chuyên môn và tương đương, các đơn vị sự nghiệp công lập thuộc tỉnh, các tổ chức Hội được giao biên chế </w:t>
      </w:r>
      <w:r w:rsidRPr="00043DB3">
        <w:rPr>
          <w:color w:val="000000" w:themeColor="text1"/>
          <w:szCs w:val="28"/>
          <w:lang w:val="nb-NO"/>
        </w:rPr>
        <w:t>tổ chức</w:t>
      </w:r>
      <w:r w:rsidR="00702FA0" w:rsidRPr="00043DB3">
        <w:rPr>
          <w:color w:val="000000" w:themeColor="text1"/>
          <w:szCs w:val="28"/>
          <w:lang w:val="nb-NO"/>
        </w:rPr>
        <w:t xml:space="preserve"> </w:t>
      </w:r>
      <w:r w:rsidR="00B03CC9" w:rsidRPr="00043DB3">
        <w:rPr>
          <w:color w:val="000000" w:themeColor="text1"/>
          <w:szCs w:val="28"/>
          <w:lang w:val="nb-NO"/>
        </w:rPr>
        <w:t>thì do các đơn vị tự bảo đảm từ nguồn chi thường xuyên của đơn vị.</w:t>
      </w:r>
      <w:r w:rsidR="00C65707" w:rsidRPr="00043DB3">
        <w:rPr>
          <w:color w:val="000000" w:themeColor="text1"/>
          <w:szCs w:val="28"/>
          <w:lang w:val="nb-NO"/>
        </w:rPr>
        <w:t>/.</w:t>
      </w:r>
    </w:p>
    <w:p w14:paraId="67AF95DE" w14:textId="77777777" w:rsidR="00441DA4" w:rsidRPr="00627846" w:rsidRDefault="00441DA4" w:rsidP="00B77FB2">
      <w:pPr>
        <w:spacing w:after="0" w:line="360" w:lineRule="exact"/>
        <w:jc w:val="center"/>
        <w:rPr>
          <w:b/>
          <w:szCs w:val="28"/>
        </w:rPr>
      </w:pPr>
    </w:p>
    <w:p w14:paraId="7458A699" w14:textId="31E2809C" w:rsidR="00B93D53" w:rsidRDefault="00B93D53" w:rsidP="0066589D">
      <w:pPr>
        <w:spacing w:after="0" w:line="360" w:lineRule="exact"/>
        <w:ind w:firstLine="720"/>
        <w:jc w:val="center"/>
      </w:pPr>
    </w:p>
    <w:sectPr w:rsidR="00B93D53" w:rsidSect="00ED6C52">
      <w:headerReference w:type="default" r:id="rId8"/>
      <w:footerReference w:type="default" r:id="rId9"/>
      <w:pgSz w:w="11907" w:h="16839" w:code="9"/>
      <w:pgMar w:top="1134" w:right="992" w:bottom="1134" w:left="1701"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9FC4" w14:textId="77777777" w:rsidR="003E7A57" w:rsidRDefault="003E7A57" w:rsidP="00C45807">
      <w:pPr>
        <w:spacing w:after="0" w:line="240" w:lineRule="auto"/>
      </w:pPr>
      <w:r>
        <w:separator/>
      </w:r>
    </w:p>
  </w:endnote>
  <w:endnote w:type="continuationSeparator" w:id="0">
    <w:p w14:paraId="5ACD1D88" w14:textId="77777777" w:rsidR="003E7A57" w:rsidRDefault="003E7A57" w:rsidP="00C4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489D" w14:textId="07DDB891" w:rsidR="002127D9" w:rsidRDefault="002127D9">
    <w:pPr>
      <w:pStyle w:val="Footer"/>
      <w:jc w:val="center"/>
    </w:pPr>
  </w:p>
  <w:p w14:paraId="455F6848" w14:textId="77777777" w:rsidR="008F6562" w:rsidRDefault="008F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4C60" w14:textId="77777777" w:rsidR="003E7A57" w:rsidRDefault="003E7A57" w:rsidP="00C45807">
      <w:pPr>
        <w:spacing w:after="0" w:line="240" w:lineRule="auto"/>
      </w:pPr>
      <w:r>
        <w:separator/>
      </w:r>
    </w:p>
  </w:footnote>
  <w:footnote w:type="continuationSeparator" w:id="0">
    <w:p w14:paraId="26683FFC" w14:textId="77777777" w:rsidR="003E7A57" w:rsidRDefault="003E7A57" w:rsidP="00C45807">
      <w:pPr>
        <w:spacing w:after="0" w:line="240" w:lineRule="auto"/>
      </w:pPr>
      <w:r>
        <w:continuationSeparator/>
      </w:r>
    </w:p>
  </w:footnote>
  <w:footnote w:id="1">
    <w:p w14:paraId="67658D75" w14:textId="101CA105" w:rsidR="003A3271" w:rsidRDefault="003A3271" w:rsidP="003E20D0">
      <w:pPr>
        <w:pStyle w:val="FootnoteText"/>
        <w:ind w:firstLine="426"/>
        <w:jc w:val="both"/>
      </w:pPr>
      <w:r>
        <w:rPr>
          <w:rStyle w:val="FootnoteReference"/>
        </w:rPr>
        <w:footnoteRef/>
      </w:r>
      <w:r>
        <w:t xml:space="preserve"> </w:t>
      </w:r>
      <w:r w:rsidR="00AD148C" w:rsidRPr="009466C6">
        <w:rPr>
          <w:szCs w:val="28"/>
        </w:rPr>
        <w:t>Thông tư số 36/2018/TT-BTC ngày 30/3/2018</w:t>
      </w:r>
      <w:r w:rsidR="00AD148C">
        <w:rPr>
          <w:szCs w:val="28"/>
        </w:rPr>
        <w:t xml:space="preserve"> của Bộ Tài chính </w:t>
      </w:r>
      <w:r w:rsidR="00AD148C">
        <w:t>h</w:t>
      </w:r>
      <w:r>
        <w:t>ướng dẫn việc lập dự toán, quản lý, sử dụng và quyết toán kinh phí dành cho công tcác đào tạo, bồi dưỡng cán bộ, công chức, viên chức.</w:t>
      </w:r>
    </w:p>
  </w:footnote>
  <w:footnote w:id="2">
    <w:p w14:paraId="4B15474D" w14:textId="58124E57" w:rsidR="003E20D0" w:rsidRDefault="003E20D0" w:rsidP="009C32F7">
      <w:pPr>
        <w:pStyle w:val="FootnoteText"/>
        <w:ind w:firstLine="426"/>
        <w:jc w:val="both"/>
      </w:pPr>
      <w:r>
        <w:rPr>
          <w:rStyle w:val="FootnoteReference"/>
        </w:rPr>
        <w:footnoteRef/>
      </w:r>
      <w:r>
        <w:t xml:space="preserve"> </w:t>
      </w:r>
      <w:r w:rsidR="00AD148C" w:rsidRPr="009466C6">
        <w:rPr>
          <w:szCs w:val="28"/>
        </w:rPr>
        <w:t>Thông tư số 69/2021/TT-BTC</w:t>
      </w:r>
      <w:r w:rsidR="00AD148C">
        <w:rPr>
          <w:szCs w:val="28"/>
        </w:rPr>
        <w:t xml:space="preserve"> </w:t>
      </w:r>
      <w:r w:rsidR="00AD148C" w:rsidRPr="009466C6">
        <w:rPr>
          <w:szCs w:val="28"/>
        </w:rPr>
        <w:t>ngày 11/8/2021</w:t>
      </w:r>
      <w:r w:rsidR="00AD148C">
        <w:rPr>
          <w:szCs w:val="28"/>
        </w:rPr>
        <w:t xml:space="preserve"> </w:t>
      </w:r>
      <w:r w:rsidR="00AD148C" w:rsidRPr="009466C6">
        <w:rPr>
          <w:szCs w:val="28"/>
        </w:rPr>
        <w:t>của Bộ Tài chính</w:t>
      </w:r>
      <w:r w:rsidR="00AD148C">
        <w:rPr>
          <w:szCs w:val="28"/>
        </w:rPr>
        <w:t xml:space="preserve"> hướng dẫn quản lý kinh phí chuẩn bị, tổ chức và tham gia các kỳ thi áp dụng đối với giáo dục phổ thông.</w:t>
      </w:r>
    </w:p>
  </w:footnote>
  <w:footnote w:id="3">
    <w:p w14:paraId="52FC3A5C" w14:textId="64712F67" w:rsidR="00DE59D5" w:rsidRDefault="00DE59D5" w:rsidP="00DE59D5">
      <w:pPr>
        <w:pStyle w:val="FootnoteText"/>
        <w:ind w:firstLine="426"/>
        <w:jc w:val="both"/>
      </w:pPr>
      <w:r>
        <w:rPr>
          <w:rStyle w:val="FootnoteReference"/>
        </w:rPr>
        <w:footnoteRef/>
      </w:r>
      <w:r>
        <w:t xml:space="preserve"> </w:t>
      </w:r>
      <w:r w:rsidRPr="000E7D48">
        <w:rPr>
          <w:szCs w:val="28"/>
        </w:rPr>
        <w:t xml:space="preserve">Nghị quyết số 21/2018/NQ-HĐND ngày 10/12/2018 của </w:t>
      </w:r>
      <w:r w:rsidRPr="009466C6">
        <w:rPr>
          <w:szCs w:val="28"/>
        </w:rPr>
        <w:t xml:space="preserve">Hội đồng nhân dân </w:t>
      </w:r>
      <w:r w:rsidRPr="000E7D48">
        <w:rPr>
          <w:szCs w:val="28"/>
        </w:rPr>
        <w:t>tỉnh Bắc Kạn</w:t>
      </w:r>
      <w:r>
        <w:rPr>
          <w:szCs w:val="28"/>
        </w:rPr>
        <w:t xml:space="preserve"> </w:t>
      </w:r>
      <w:r w:rsidRPr="000E7D48">
        <w:rPr>
          <w:szCs w:val="28"/>
        </w:rPr>
        <w:t>ban hành quy định mức chi đào tạo bồi dưỡng cán bộ, công chức, viên chức trong nước do ngân sách địa phương đảm bảo</w:t>
      </w:r>
      <w:r>
        <w:rPr>
          <w:szCs w:val="28"/>
        </w:rPr>
        <w:t>.</w:t>
      </w:r>
    </w:p>
  </w:footnote>
  <w:footnote w:id="4">
    <w:p w14:paraId="12B97B17" w14:textId="57220DFE" w:rsidR="009B5F3F" w:rsidRDefault="009B5F3F" w:rsidP="009B5F3F">
      <w:pPr>
        <w:pStyle w:val="FootnoteText"/>
        <w:ind w:firstLine="426"/>
        <w:jc w:val="both"/>
        <w:rPr>
          <w:szCs w:val="28"/>
        </w:rPr>
      </w:pPr>
      <w:r>
        <w:rPr>
          <w:rStyle w:val="FootnoteReference"/>
        </w:rPr>
        <w:footnoteRef/>
      </w:r>
      <w:r>
        <w:t xml:space="preserve"> </w:t>
      </w:r>
      <w:r w:rsidRPr="009466C6">
        <w:rPr>
          <w:szCs w:val="28"/>
        </w:rPr>
        <w:t>Nghị quyết số 12/2021/NQ-HĐND ngày 07/12/2021 của Hội đồng nhân dân tỉnh Bắc Kạn</w:t>
      </w:r>
      <w:r>
        <w:rPr>
          <w:szCs w:val="28"/>
        </w:rPr>
        <w:t xml:space="preserve"> ban hành quy định về nội dung, mức chi tổ chức các kỳ thi, cuộc thi, hội thi trong lĩnh vực giáo dục - đào tạo trên địa bàn tỉnh Bắc Kạn.</w:t>
      </w:r>
    </w:p>
    <w:p w14:paraId="507FC07C" w14:textId="77777777" w:rsidR="006C1AAB" w:rsidRDefault="006C1AAB" w:rsidP="009B5F3F">
      <w:pPr>
        <w:pStyle w:val="FootnoteText"/>
        <w:ind w:firstLine="42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60405"/>
      <w:docPartObj>
        <w:docPartGallery w:val="Page Numbers (Top of Page)"/>
        <w:docPartUnique/>
      </w:docPartObj>
    </w:sdtPr>
    <w:sdtEndPr>
      <w:rPr>
        <w:noProof/>
      </w:rPr>
    </w:sdtEndPr>
    <w:sdtContent>
      <w:p w14:paraId="42C9EEF1" w14:textId="7EF0A833" w:rsidR="007F45CE" w:rsidRDefault="007F45CE">
        <w:pPr>
          <w:pStyle w:val="Header"/>
          <w:jc w:val="center"/>
        </w:pPr>
        <w:r>
          <w:fldChar w:fldCharType="begin"/>
        </w:r>
        <w:r>
          <w:instrText xml:space="preserve"> PAGE   \* MERGEFORMAT </w:instrText>
        </w:r>
        <w:r>
          <w:fldChar w:fldCharType="separate"/>
        </w:r>
        <w:r w:rsidR="00950B3E">
          <w:rPr>
            <w:noProof/>
          </w:rPr>
          <w:t>11</w:t>
        </w:r>
        <w:r>
          <w:rPr>
            <w:noProof/>
          </w:rPr>
          <w:fldChar w:fldCharType="end"/>
        </w:r>
      </w:p>
    </w:sdtContent>
  </w:sdt>
  <w:p w14:paraId="18598E09" w14:textId="77777777" w:rsidR="00B77FB2" w:rsidRDefault="00B7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68EA"/>
    <w:multiLevelType w:val="hybridMultilevel"/>
    <w:tmpl w:val="579C7CCE"/>
    <w:lvl w:ilvl="0" w:tplc="51FA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1083C"/>
    <w:multiLevelType w:val="hybridMultilevel"/>
    <w:tmpl w:val="8ECA3D42"/>
    <w:lvl w:ilvl="0" w:tplc="A21C96C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4427045">
    <w:abstractNumId w:val="0"/>
  </w:num>
  <w:num w:numId="2" w16cid:durableId="132408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A4"/>
    <w:rsid w:val="00000A8F"/>
    <w:rsid w:val="00001BCB"/>
    <w:rsid w:val="00004243"/>
    <w:rsid w:val="0000573D"/>
    <w:rsid w:val="00005D2A"/>
    <w:rsid w:val="00010B7D"/>
    <w:rsid w:val="0001386C"/>
    <w:rsid w:val="000148AC"/>
    <w:rsid w:val="000153F1"/>
    <w:rsid w:val="00017845"/>
    <w:rsid w:val="000219C0"/>
    <w:rsid w:val="000245F1"/>
    <w:rsid w:val="00024A1B"/>
    <w:rsid w:val="00025693"/>
    <w:rsid w:val="0002712D"/>
    <w:rsid w:val="00030122"/>
    <w:rsid w:val="00031FF0"/>
    <w:rsid w:val="0003332A"/>
    <w:rsid w:val="000334EE"/>
    <w:rsid w:val="00033809"/>
    <w:rsid w:val="000349A5"/>
    <w:rsid w:val="00035D62"/>
    <w:rsid w:val="00037BA4"/>
    <w:rsid w:val="0004050B"/>
    <w:rsid w:val="00040710"/>
    <w:rsid w:val="0004106B"/>
    <w:rsid w:val="000412F5"/>
    <w:rsid w:val="000413FF"/>
    <w:rsid w:val="0004216E"/>
    <w:rsid w:val="000423CA"/>
    <w:rsid w:val="000436AB"/>
    <w:rsid w:val="00043DB3"/>
    <w:rsid w:val="000449C8"/>
    <w:rsid w:val="00045A7E"/>
    <w:rsid w:val="0005318C"/>
    <w:rsid w:val="00054B9B"/>
    <w:rsid w:val="0005725F"/>
    <w:rsid w:val="00057525"/>
    <w:rsid w:val="000575FF"/>
    <w:rsid w:val="000628F4"/>
    <w:rsid w:val="00065521"/>
    <w:rsid w:val="0006580E"/>
    <w:rsid w:val="000662B3"/>
    <w:rsid w:val="000671FA"/>
    <w:rsid w:val="00074631"/>
    <w:rsid w:val="00074C70"/>
    <w:rsid w:val="00081537"/>
    <w:rsid w:val="000850A6"/>
    <w:rsid w:val="00086CC2"/>
    <w:rsid w:val="00090A83"/>
    <w:rsid w:val="00093973"/>
    <w:rsid w:val="000A0784"/>
    <w:rsid w:val="000A1E55"/>
    <w:rsid w:val="000A2F20"/>
    <w:rsid w:val="000A49FF"/>
    <w:rsid w:val="000A5A5B"/>
    <w:rsid w:val="000A6728"/>
    <w:rsid w:val="000B0067"/>
    <w:rsid w:val="000B13D2"/>
    <w:rsid w:val="000B2094"/>
    <w:rsid w:val="000B3146"/>
    <w:rsid w:val="000B5824"/>
    <w:rsid w:val="000C0173"/>
    <w:rsid w:val="000C3238"/>
    <w:rsid w:val="000C644E"/>
    <w:rsid w:val="000C7ED5"/>
    <w:rsid w:val="000D0CB8"/>
    <w:rsid w:val="000D5E99"/>
    <w:rsid w:val="000D5EA8"/>
    <w:rsid w:val="000D6203"/>
    <w:rsid w:val="000E0337"/>
    <w:rsid w:val="000E3054"/>
    <w:rsid w:val="000E35F1"/>
    <w:rsid w:val="000E56BC"/>
    <w:rsid w:val="000E7D48"/>
    <w:rsid w:val="000F14C5"/>
    <w:rsid w:val="000F1B84"/>
    <w:rsid w:val="000F1B8D"/>
    <w:rsid w:val="000F2176"/>
    <w:rsid w:val="000F2C00"/>
    <w:rsid w:val="000F4AEB"/>
    <w:rsid w:val="000F592C"/>
    <w:rsid w:val="000F6C0F"/>
    <w:rsid w:val="000F7A03"/>
    <w:rsid w:val="001003E5"/>
    <w:rsid w:val="001029B7"/>
    <w:rsid w:val="00102D72"/>
    <w:rsid w:val="001034D9"/>
    <w:rsid w:val="001047F1"/>
    <w:rsid w:val="00104F7A"/>
    <w:rsid w:val="00105CAF"/>
    <w:rsid w:val="00106AC3"/>
    <w:rsid w:val="001074B1"/>
    <w:rsid w:val="0011042F"/>
    <w:rsid w:val="00110DF6"/>
    <w:rsid w:val="00111E63"/>
    <w:rsid w:val="001130F9"/>
    <w:rsid w:val="0011349C"/>
    <w:rsid w:val="0011528A"/>
    <w:rsid w:val="00117A8D"/>
    <w:rsid w:val="00120C28"/>
    <w:rsid w:val="00122DE7"/>
    <w:rsid w:val="001314F2"/>
    <w:rsid w:val="00131C6C"/>
    <w:rsid w:val="00132373"/>
    <w:rsid w:val="001358A8"/>
    <w:rsid w:val="001362BF"/>
    <w:rsid w:val="00136384"/>
    <w:rsid w:val="00136C6A"/>
    <w:rsid w:val="00137454"/>
    <w:rsid w:val="0014043F"/>
    <w:rsid w:val="00140D24"/>
    <w:rsid w:val="00140EBE"/>
    <w:rsid w:val="00141956"/>
    <w:rsid w:val="00141FFE"/>
    <w:rsid w:val="00147BED"/>
    <w:rsid w:val="00151BC3"/>
    <w:rsid w:val="00152A50"/>
    <w:rsid w:val="00155C9D"/>
    <w:rsid w:val="00156118"/>
    <w:rsid w:val="00156256"/>
    <w:rsid w:val="00165654"/>
    <w:rsid w:val="00167DC4"/>
    <w:rsid w:val="001705A8"/>
    <w:rsid w:val="00172896"/>
    <w:rsid w:val="00176A2F"/>
    <w:rsid w:val="00181E63"/>
    <w:rsid w:val="00181EF8"/>
    <w:rsid w:val="001853D9"/>
    <w:rsid w:val="00185624"/>
    <w:rsid w:val="00186289"/>
    <w:rsid w:val="00190CCD"/>
    <w:rsid w:val="00191A46"/>
    <w:rsid w:val="001928C7"/>
    <w:rsid w:val="0019297F"/>
    <w:rsid w:val="00194759"/>
    <w:rsid w:val="00197A06"/>
    <w:rsid w:val="001A0FAB"/>
    <w:rsid w:val="001A17B9"/>
    <w:rsid w:val="001A32B8"/>
    <w:rsid w:val="001A33E3"/>
    <w:rsid w:val="001A3AAE"/>
    <w:rsid w:val="001A436C"/>
    <w:rsid w:val="001A53B4"/>
    <w:rsid w:val="001A76A4"/>
    <w:rsid w:val="001B03E1"/>
    <w:rsid w:val="001B1102"/>
    <w:rsid w:val="001B2C10"/>
    <w:rsid w:val="001B2FEA"/>
    <w:rsid w:val="001B4AD7"/>
    <w:rsid w:val="001B7F7D"/>
    <w:rsid w:val="001C0E10"/>
    <w:rsid w:val="001C3953"/>
    <w:rsid w:val="001C456C"/>
    <w:rsid w:val="001C4758"/>
    <w:rsid w:val="001C4EEF"/>
    <w:rsid w:val="001C5621"/>
    <w:rsid w:val="001C6C42"/>
    <w:rsid w:val="001C6D5D"/>
    <w:rsid w:val="001C7E57"/>
    <w:rsid w:val="001D0197"/>
    <w:rsid w:val="001D0B8F"/>
    <w:rsid w:val="001D0D76"/>
    <w:rsid w:val="001D134E"/>
    <w:rsid w:val="001D1C32"/>
    <w:rsid w:val="001D2A63"/>
    <w:rsid w:val="001E04B7"/>
    <w:rsid w:val="001E1585"/>
    <w:rsid w:val="001E2A54"/>
    <w:rsid w:val="001E3B49"/>
    <w:rsid w:val="001E711F"/>
    <w:rsid w:val="001E7976"/>
    <w:rsid w:val="001F0490"/>
    <w:rsid w:val="001F20F3"/>
    <w:rsid w:val="001F33D1"/>
    <w:rsid w:val="001F3FFD"/>
    <w:rsid w:val="001F73B2"/>
    <w:rsid w:val="001F7FB4"/>
    <w:rsid w:val="002011C4"/>
    <w:rsid w:val="00202533"/>
    <w:rsid w:val="00204932"/>
    <w:rsid w:val="0020502A"/>
    <w:rsid w:val="0020662E"/>
    <w:rsid w:val="0020742D"/>
    <w:rsid w:val="00207E52"/>
    <w:rsid w:val="002104AE"/>
    <w:rsid w:val="00212003"/>
    <w:rsid w:val="002127D9"/>
    <w:rsid w:val="00212BAF"/>
    <w:rsid w:val="0021566E"/>
    <w:rsid w:val="002162CB"/>
    <w:rsid w:val="00217005"/>
    <w:rsid w:val="00221E25"/>
    <w:rsid w:val="0022495A"/>
    <w:rsid w:val="002260CB"/>
    <w:rsid w:val="002311EE"/>
    <w:rsid w:val="002322A0"/>
    <w:rsid w:val="00232F39"/>
    <w:rsid w:val="00234FB2"/>
    <w:rsid w:val="00235093"/>
    <w:rsid w:val="002369D1"/>
    <w:rsid w:val="0024105B"/>
    <w:rsid w:val="00243056"/>
    <w:rsid w:val="002434B7"/>
    <w:rsid w:val="002518AF"/>
    <w:rsid w:val="00252469"/>
    <w:rsid w:val="0025363C"/>
    <w:rsid w:val="00253A47"/>
    <w:rsid w:val="00255046"/>
    <w:rsid w:val="00257409"/>
    <w:rsid w:val="002600A9"/>
    <w:rsid w:val="00260151"/>
    <w:rsid w:val="002606E0"/>
    <w:rsid w:val="002607E2"/>
    <w:rsid w:val="0026200F"/>
    <w:rsid w:val="00262D25"/>
    <w:rsid w:val="00263CC7"/>
    <w:rsid w:val="00266F1A"/>
    <w:rsid w:val="0026763F"/>
    <w:rsid w:val="00271C87"/>
    <w:rsid w:val="002727F7"/>
    <w:rsid w:val="00274EF7"/>
    <w:rsid w:val="00276678"/>
    <w:rsid w:val="00277843"/>
    <w:rsid w:val="00283020"/>
    <w:rsid w:val="00285064"/>
    <w:rsid w:val="002853A8"/>
    <w:rsid w:val="00290D00"/>
    <w:rsid w:val="00291840"/>
    <w:rsid w:val="002A3D00"/>
    <w:rsid w:val="002A7676"/>
    <w:rsid w:val="002B0CB1"/>
    <w:rsid w:val="002B2EC8"/>
    <w:rsid w:val="002B3049"/>
    <w:rsid w:val="002B3066"/>
    <w:rsid w:val="002B51F8"/>
    <w:rsid w:val="002C0C1B"/>
    <w:rsid w:val="002C168B"/>
    <w:rsid w:val="002C197B"/>
    <w:rsid w:val="002C26A2"/>
    <w:rsid w:val="002C320B"/>
    <w:rsid w:val="002C33B6"/>
    <w:rsid w:val="002C468B"/>
    <w:rsid w:val="002D0816"/>
    <w:rsid w:val="002D2EE6"/>
    <w:rsid w:val="002D3396"/>
    <w:rsid w:val="002D5FF1"/>
    <w:rsid w:val="002D60A2"/>
    <w:rsid w:val="002D6308"/>
    <w:rsid w:val="002D6316"/>
    <w:rsid w:val="002E47BE"/>
    <w:rsid w:val="002F05C2"/>
    <w:rsid w:val="002F2336"/>
    <w:rsid w:val="002F25FE"/>
    <w:rsid w:val="002F2FD8"/>
    <w:rsid w:val="002F5A68"/>
    <w:rsid w:val="002F733D"/>
    <w:rsid w:val="00300A11"/>
    <w:rsid w:val="0030108B"/>
    <w:rsid w:val="003024D6"/>
    <w:rsid w:val="003034F5"/>
    <w:rsid w:val="00310000"/>
    <w:rsid w:val="0031239C"/>
    <w:rsid w:val="00313002"/>
    <w:rsid w:val="00313217"/>
    <w:rsid w:val="00315B75"/>
    <w:rsid w:val="00317221"/>
    <w:rsid w:val="00317B10"/>
    <w:rsid w:val="003213DC"/>
    <w:rsid w:val="00321D78"/>
    <w:rsid w:val="00322C59"/>
    <w:rsid w:val="003238E5"/>
    <w:rsid w:val="003248EA"/>
    <w:rsid w:val="00327C69"/>
    <w:rsid w:val="00332702"/>
    <w:rsid w:val="00332C66"/>
    <w:rsid w:val="00333A1F"/>
    <w:rsid w:val="003355A9"/>
    <w:rsid w:val="0033652B"/>
    <w:rsid w:val="00336E65"/>
    <w:rsid w:val="0033783E"/>
    <w:rsid w:val="00337A77"/>
    <w:rsid w:val="0034196C"/>
    <w:rsid w:val="00342064"/>
    <w:rsid w:val="00343098"/>
    <w:rsid w:val="00347920"/>
    <w:rsid w:val="00350EAA"/>
    <w:rsid w:val="00351A44"/>
    <w:rsid w:val="0035437B"/>
    <w:rsid w:val="00355024"/>
    <w:rsid w:val="00355367"/>
    <w:rsid w:val="00357156"/>
    <w:rsid w:val="0036160F"/>
    <w:rsid w:val="00361BC3"/>
    <w:rsid w:val="00362B88"/>
    <w:rsid w:val="003662D1"/>
    <w:rsid w:val="00370B4F"/>
    <w:rsid w:val="00370E4A"/>
    <w:rsid w:val="00371970"/>
    <w:rsid w:val="00372796"/>
    <w:rsid w:val="00376179"/>
    <w:rsid w:val="00376C94"/>
    <w:rsid w:val="00377D70"/>
    <w:rsid w:val="00377ECD"/>
    <w:rsid w:val="003821C8"/>
    <w:rsid w:val="003832B9"/>
    <w:rsid w:val="00384592"/>
    <w:rsid w:val="003850E6"/>
    <w:rsid w:val="00385E87"/>
    <w:rsid w:val="0039013E"/>
    <w:rsid w:val="00391587"/>
    <w:rsid w:val="00396357"/>
    <w:rsid w:val="003968AF"/>
    <w:rsid w:val="003A2FB4"/>
    <w:rsid w:val="003A319C"/>
    <w:rsid w:val="003A3271"/>
    <w:rsid w:val="003A6128"/>
    <w:rsid w:val="003A7C96"/>
    <w:rsid w:val="003B3F04"/>
    <w:rsid w:val="003B4121"/>
    <w:rsid w:val="003B6CFB"/>
    <w:rsid w:val="003B6F88"/>
    <w:rsid w:val="003C0836"/>
    <w:rsid w:val="003C0EF9"/>
    <w:rsid w:val="003C45DC"/>
    <w:rsid w:val="003C5F12"/>
    <w:rsid w:val="003D2452"/>
    <w:rsid w:val="003D38BA"/>
    <w:rsid w:val="003D5932"/>
    <w:rsid w:val="003D65D9"/>
    <w:rsid w:val="003E142A"/>
    <w:rsid w:val="003E20AD"/>
    <w:rsid w:val="003E20D0"/>
    <w:rsid w:val="003E2D93"/>
    <w:rsid w:val="003E342B"/>
    <w:rsid w:val="003E6C2A"/>
    <w:rsid w:val="003E6E58"/>
    <w:rsid w:val="003E7A57"/>
    <w:rsid w:val="003F1C70"/>
    <w:rsid w:val="003F1E2A"/>
    <w:rsid w:val="003F35DB"/>
    <w:rsid w:val="003F4275"/>
    <w:rsid w:val="003F4909"/>
    <w:rsid w:val="003F5C56"/>
    <w:rsid w:val="003F6780"/>
    <w:rsid w:val="003F7D78"/>
    <w:rsid w:val="00401CE5"/>
    <w:rsid w:val="00401F43"/>
    <w:rsid w:val="004033E1"/>
    <w:rsid w:val="004062D0"/>
    <w:rsid w:val="00407FC8"/>
    <w:rsid w:val="00411857"/>
    <w:rsid w:val="00412DA2"/>
    <w:rsid w:val="004159F1"/>
    <w:rsid w:val="00417047"/>
    <w:rsid w:val="004202BF"/>
    <w:rsid w:val="00425DA7"/>
    <w:rsid w:val="00425F8C"/>
    <w:rsid w:val="00426532"/>
    <w:rsid w:val="00431350"/>
    <w:rsid w:val="004327A4"/>
    <w:rsid w:val="00432D61"/>
    <w:rsid w:val="00433982"/>
    <w:rsid w:val="004343A5"/>
    <w:rsid w:val="004372D0"/>
    <w:rsid w:val="004378D0"/>
    <w:rsid w:val="00441104"/>
    <w:rsid w:val="00441DA4"/>
    <w:rsid w:val="00443535"/>
    <w:rsid w:val="00444512"/>
    <w:rsid w:val="00444F3F"/>
    <w:rsid w:val="00444F65"/>
    <w:rsid w:val="004474CC"/>
    <w:rsid w:val="0045067C"/>
    <w:rsid w:val="00451BC5"/>
    <w:rsid w:val="00451C65"/>
    <w:rsid w:val="00451FA7"/>
    <w:rsid w:val="00452548"/>
    <w:rsid w:val="00452BED"/>
    <w:rsid w:val="00454695"/>
    <w:rsid w:val="00454E53"/>
    <w:rsid w:val="004556F5"/>
    <w:rsid w:val="00455DE1"/>
    <w:rsid w:val="0045721E"/>
    <w:rsid w:val="004603DC"/>
    <w:rsid w:val="004606F7"/>
    <w:rsid w:val="00460EB7"/>
    <w:rsid w:val="00461B3B"/>
    <w:rsid w:val="004621E3"/>
    <w:rsid w:val="00463EE5"/>
    <w:rsid w:val="004646DD"/>
    <w:rsid w:val="00466F27"/>
    <w:rsid w:val="004714BF"/>
    <w:rsid w:val="004717D8"/>
    <w:rsid w:val="00472642"/>
    <w:rsid w:val="00476AB2"/>
    <w:rsid w:val="00480B34"/>
    <w:rsid w:val="00480BE7"/>
    <w:rsid w:val="00480FB8"/>
    <w:rsid w:val="004829AE"/>
    <w:rsid w:val="004829B7"/>
    <w:rsid w:val="004846C6"/>
    <w:rsid w:val="00485780"/>
    <w:rsid w:val="004901E0"/>
    <w:rsid w:val="004911DF"/>
    <w:rsid w:val="0049135A"/>
    <w:rsid w:val="00491BC6"/>
    <w:rsid w:val="004938D1"/>
    <w:rsid w:val="004947A6"/>
    <w:rsid w:val="004968EE"/>
    <w:rsid w:val="004A07CA"/>
    <w:rsid w:val="004A10FC"/>
    <w:rsid w:val="004A4AB4"/>
    <w:rsid w:val="004A5211"/>
    <w:rsid w:val="004A571E"/>
    <w:rsid w:val="004B02DC"/>
    <w:rsid w:val="004B036F"/>
    <w:rsid w:val="004B348D"/>
    <w:rsid w:val="004B3800"/>
    <w:rsid w:val="004B4FA0"/>
    <w:rsid w:val="004B5103"/>
    <w:rsid w:val="004B57F6"/>
    <w:rsid w:val="004B59F7"/>
    <w:rsid w:val="004B7B67"/>
    <w:rsid w:val="004C4C7F"/>
    <w:rsid w:val="004C6648"/>
    <w:rsid w:val="004D02DE"/>
    <w:rsid w:val="004D0D3A"/>
    <w:rsid w:val="004D10C0"/>
    <w:rsid w:val="004D1CA8"/>
    <w:rsid w:val="004D2F33"/>
    <w:rsid w:val="004D4B49"/>
    <w:rsid w:val="004D53BC"/>
    <w:rsid w:val="004D5CEF"/>
    <w:rsid w:val="004D6608"/>
    <w:rsid w:val="004E2B37"/>
    <w:rsid w:val="004E391F"/>
    <w:rsid w:val="004E394F"/>
    <w:rsid w:val="004E6444"/>
    <w:rsid w:val="004E6D43"/>
    <w:rsid w:val="004E6DB5"/>
    <w:rsid w:val="004E72B6"/>
    <w:rsid w:val="004E73FA"/>
    <w:rsid w:val="004F54AC"/>
    <w:rsid w:val="004F683E"/>
    <w:rsid w:val="004F6B21"/>
    <w:rsid w:val="00503559"/>
    <w:rsid w:val="00507223"/>
    <w:rsid w:val="00510817"/>
    <w:rsid w:val="0051187F"/>
    <w:rsid w:val="00513448"/>
    <w:rsid w:val="00513B26"/>
    <w:rsid w:val="005152DB"/>
    <w:rsid w:val="0051599E"/>
    <w:rsid w:val="00521A6B"/>
    <w:rsid w:val="00523749"/>
    <w:rsid w:val="00525788"/>
    <w:rsid w:val="005275AF"/>
    <w:rsid w:val="0053023D"/>
    <w:rsid w:val="00530E1E"/>
    <w:rsid w:val="0053251E"/>
    <w:rsid w:val="00532BE1"/>
    <w:rsid w:val="00532C7C"/>
    <w:rsid w:val="00533E17"/>
    <w:rsid w:val="0053417B"/>
    <w:rsid w:val="00534BA2"/>
    <w:rsid w:val="00535BDE"/>
    <w:rsid w:val="00535F40"/>
    <w:rsid w:val="005401AF"/>
    <w:rsid w:val="00541711"/>
    <w:rsid w:val="00542EC3"/>
    <w:rsid w:val="0054374E"/>
    <w:rsid w:val="005449F7"/>
    <w:rsid w:val="00545E40"/>
    <w:rsid w:val="00546996"/>
    <w:rsid w:val="00547D44"/>
    <w:rsid w:val="00551396"/>
    <w:rsid w:val="00551494"/>
    <w:rsid w:val="00551E33"/>
    <w:rsid w:val="00552D0E"/>
    <w:rsid w:val="00552E33"/>
    <w:rsid w:val="005547EE"/>
    <w:rsid w:val="00557233"/>
    <w:rsid w:val="00560FF8"/>
    <w:rsid w:val="0056390D"/>
    <w:rsid w:val="005654D7"/>
    <w:rsid w:val="00565B85"/>
    <w:rsid w:val="005663D7"/>
    <w:rsid w:val="00566609"/>
    <w:rsid w:val="005674CC"/>
    <w:rsid w:val="0057173C"/>
    <w:rsid w:val="00571BA7"/>
    <w:rsid w:val="00574417"/>
    <w:rsid w:val="00575E18"/>
    <w:rsid w:val="00576680"/>
    <w:rsid w:val="00576B26"/>
    <w:rsid w:val="00577E60"/>
    <w:rsid w:val="00580B64"/>
    <w:rsid w:val="00580D80"/>
    <w:rsid w:val="005817FA"/>
    <w:rsid w:val="00581CB5"/>
    <w:rsid w:val="00581F50"/>
    <w:rsid w:val="005835C4"/>
    <w:rsid w:val="0058493F"/>
    <w:rsid w:val="00591790"/>
    <w:rsid w:val="00592AD8"/>
    <w:rsid w:val="00592AF9"/>
    <w:rsid w:val="00592F6D"/>
    <w:rsid w:val="0059333E"/>
    <w:rsid w:val="00593E76"/>
    <w:rsid w:val="00594184"/>
    <w:rsid w:val="00596D0E"/>
    <w:rsid w:val="005976EB"/>
    <w:rsid w:val="00597E85"/>
    <w:rsid w:val="005A196C"/>
    <w:rsid w:val="005A2B52"/>
    <w:rsid w:val="005A4031"/>
    <w:rsid w:val="005A7759"/>
    <w:rsid w:val="005B2740"/>
    <w:rsid w:val="005B3372"/>
    <w:rsid w:val="005B458D"/>
    <w:rsid w:val="005B4F76"/>
    <w:rsid w:val="005B5497"/>
    <w:rsid w:val="005B6524"/>
    <w:rsid w:val="005B7AC7"/>
    <w:rsid w:val="005C10D0"/>
    <w:rsid w:val="005C14D5"/>
    <w:rsid w:val="005C1F27"/>
    <w:rsid w:val="005C39C8"/>
    <w:rsid w:val="005C70E2"/>
    <w:rsid w:val="005D2C52"/>
    <w:rsid w:val="005D6E97"/>
    <w:rsid w:val="005D736C"/>
    <w:rsid w:val="005E1983"/>
    <w:rsid w:val="005E1F7E"/>
    <w:rsid w:val="005E6E1C"/>
    <w:rsid w:val="005E7550"/>
    <w:rsid w:val="005F342D"/>
    <w:rsid w:val="005F4135"/>
    <w:rsid w:val="005F4FEE"/>
    <w:rsid w:val="005F530C"/>
    <w:rsid w:val="005F5D97"/>
    <w:rsid w:val="005F6453"/>
    <w:rsid w:val="005F6866"/>
    <w:rsid w:val="005F6A44"/>
    <w:rsid w:val="005F6A7D"/>
    <w:rsid w:val="00600459"/>
    <w:rsid w:val="00600E8C"/>
    <w:rsid w:val="0060138F"/>
    <w:rsid w:val="00602EDE"/>
    <w:rsid w:val="0060619F"/>
    <w:rsid w:val="00610052"/>
    <w:rsid w:val="00610B61"/>
    <w:rsid w:val="00611469"/>
    <w:rsid w:val="00614011"/>
    <w:rsid w:val="00615266"/>
    <w:rsid w:val="006238A2"/>
    <w:rsid w:val="006263CF"/>
    <w:rsid w:val="00627846"/>
    <w:rsid w:val="0063065B"/>
    <w:rsid w:val="006317D9"/>
    <w:rsid w:val="006326B9"/>
    <w:rsid w:val="006328B6"/>
    <w:rsid w:val="006340C7"/>
    <w:rsid w:val="006347A2"/>
    <w:rsid w:val="00634B08"/>
    <w:rsid w:val="006350C4"/>
    <w:rsid w:val="00635516"/>
    <w:rsid w:val="006357D0"/>
    <w:rsid w:val="00636FF1"/>
    <w:rsid w:val="006371A2"/>
    <w:rsid w:val="006373C2"/>
    <w:rsid w:val="00643D4C"/>
    <w:rsid w:val="006451C6"/>
    <w:rsid w:val="006468D5"/>
    <w:rsid w:val="00650E1E"/>
    <w:rsid w:val="006529CC"/>
    <w:rsid w:val="00653048"/>
    <w:rsid w:val="00653CD2"/>
    <w:rsid w:val="00656BFA"/>
    <w:rsid w:val="00657C4D"/>
    <w:rsid w:val="00662D94"/>
    <w:rsid w:val="0066341F"/>
    <w:rsid w:val="0066589D"/>
    <w:rsid w:val="00665ACB"/>
    <w:rsid w:val="00667244"/>
    <w:rsid w:val="0067642F"/>
    <w:rsid w:val="00682CD6"/>
    <w:rsid w:val="00682D13"/>
    <w:rsid w:val="0068304A"/>
    <w:rsid w:val="006837A8"/>
    <w:rsid w:val="00684463"/>
    <w:rsid w:val="00691B8F"/>
    <w:rsid w:val="00692622"/>
    <w:rsid w:val="00694F9D"/>
    <w:rsid w:val="006A0518"/>
    <w:rsid w:val="006A24D6"/>
    <w:rsid w:val="006A2687"/>
    <w:rsid w:val="006A2B46"/>
    <w:rsid w:val="006A4ABD"/>
    <w:rsid w:val="006A7AE9"/>
    <w:rsid w:val="006B206D"/>
    <w:rsid w:val="006B5CA3"/>
    <w:rsid w:val="006B7093"/>
    <w:rsid w:val="006B737D"/>
    <w:rsid w:val="006C1AAB"/>
    <w:rsid w:val="006C1DD5"/>
    <w:rsid w:val="006C2112"/>
    <w:rsid w:val="006C479D"/>
    <w:rsid w:val="006C4826"/>
    <w:rsid w:val="006C492D"/>
    <w:rsid w:val="006D2911"/>
    <w:rsid w:val="006D5B8C"/>
    <w:rsid w:val="006D6006"/>
    <w:rsid w:val="006D7719"/>
    <w:rsid w:val="006E02C8"/>
    <w:rsid w:val="006E12C3"/>
    <w:rsid w:val="006E5F89"/>
    <w:rsid w:val="006E6A2F"/>
    <w:rsid w:val="006E72C3"/>
    <w:rsid w:val="006F1ACD"/>
    <w:rsid w:val="006F1F52"/>
    <w:rsid w:val="006F510E"/>
    <w:rsid w:val="006F53D8"/>
    <w:rsid w:val="006F53E9"/>
    <w:rsid w:val="006F5D55"/>
    <w:rsid w:val="006F6E71"/>
    <w:rsid w:val="006F6EED"/>
    <w:rsid w:val="006F7895"/>
    <w:rsid w:val="00700CCE"/>
    <w:rsid w:val="00701394"/>
    <w:rsid w:val="00702C73"/>
    <w:rsid w:val="00702FA0"/>
    <w:rsid w:val="0070350C"/>
    <w:rsid w:val="00704FEE"/>
    <w:rsid w:val="00707617"/>
    <w:rsid w:val="00707728"/>
    <w:rsid w:val="00707A78"/>
    <w:rsid w:val="00713266"/>
    <w:rsid w:val="00716AEF"/>
    <w:rsid w:val="00721B9B"/>
    <w:rsid w:val="00723454"/>
    <w:rsid w:val="00723AF2"/>
    <w:rsid w:val="007250ED"/>
    <w:rsid w:val="00727A6E"/>
    <w:rsid w:val="007300C2"/>
    <w:rsid w:val="007354BB"/>
    <w:rsid w:val="0073621D"/>
    <w:rsid w:val="00736DB9"/>
    <w:rsid w:val="00741CF6"/>
    <w:rsid w:val="00747556"/>
    <w:rsid w:val="00750014"/>
    <w:rsid w:val="007506DA"/>
    <w:rsid w:val="00755552"/>
    <w:rsid w:val="00755AFB"/>
    <w:rsid w:val="0075723B"/>
    <w:rsid w:val="00757F18"/>
    <w:rsid w:val="007624B3"/>
    <w:rsid w:val="007624C6"/>
    <w:rsid w:val="00762B3E"/>
    <w:rsid w:val="007662B5"/>
    <w:rsid w:val="00766409"/>
    <w:rsid w:val="00767312"/>
    <w:rsid w:val="00770B87"/>
    <w:rsid w:val="00771318"/>
    <w:rsid w:val="007719A0"/>
    <w:rsid w:val="007736AC"/>
    <w:rsid w:val="00774C9B"/>
    <w:rsid w:val="00775CE0"/>
    <w:rsid w:val="0077631A"/>
    <w:rsid w:val="0077696B"/>
    <w:rsid w:val="00777522"/>
    <w:rsid w:val="00777B95"/>
    <w:rsid w:val="00781EDD"/>
    <w:rsid w:val="00781FC2"/>
    <w:rsid w:val="00784B8A"/>
    <w:rsid w:val="00786CA7"/>
    <w:rsid w:val="007872AB"/>
    <w:rsid w:val="007873A2"/>
    <w:rsid w:val="00787D0D"/>
    <w:rsid w:val="007912E8"/>
    <w:rsid w:val="00791DB8"/>
    <w:rsid w:val="00792372"/>
    <w:rsid w:val="00793658"/>
    <w:rsid w:val="0079712F"/>
    <w:rsid w:val="00797DF7"/>
    <w:rsid w:val="007A0776"/>
    <w:rsid w:val="007A1571"/>
    <w:rsid w:val="007A274F"/>
    <w:rsid w:val="007A2DA0"/>
    <w:rsid w:val="007A2EE6"/>
    <w:rsid w:val="007A4B62"/>
    <w:rsid w:val="007A7EC3"/>
    <w:rsid w:val="007B1455"/>
    <w:rsid w:val="007B2087"/>
    <w:rsid w:val="007B31F8"/>
    <w:rsid w:val="007B3E71"/>
    <w:rsid w:val="007B7FBA"/>
    <w:rsid w:val="007C07B7"/>
    <w:rsid w:val="007C181C"/>
    <w:rsid w:val="007C418E"/>
    <w:rsid w:val="007C4778"/>
    <w:rsid w:val="007C5063"/>
    <w:rsid w:val="007C52C5"/>
    <w:rsid w:val="007C5562"/>
    <w:rsid w:val="007C71E8"/>
    <w:rsid w:val="007D02AE"/>
    <w:rsid w:val="007D3B01"/>
    <w:rsid w:val="007D599A"/>
    <w:rsid w:val="007D7DFB"/>
    <w:rsid w:val="007E1303"/>
    <w:rsid w:val="007E1383"/>
    <w:rsid w:val="007E19B7"/>
    <w:rsid w:val="007F0E6A"/>
    <w:rsid w:val="007F2973"/>
    <w:rsid w:val="007F2B0F"/>
    <w:rsid w:val="007F39A1"/>
    <w:rsid w:val="007F45CE"/>
    <w:rsid w:val="008042AE"/>
    <w:rsid w:val="00806311"/>
    <w:rsid w:val="00811A30"/>
    <w:rsid w:val="00811DBA"/>
    <w:rsid w:val="00812E69"/>
    <w:rsid w:val="00817E1A"/>
    <w:rsid w:val="00822470"/>
    <w:rsid w:val="00825290"/>
    <w:rsid w:val="0082777B"/>
    <w:rsid w:val="0083036D"/>
    <w:rsid w:val="0083227A"/>
    <w:rsid w:val="00833751"/>
    <w:rsid w:val="008342F7"/>
    <w:rsid w:val="00835BDE"/>
    <w:rsid w:val="00836D4A"/>
    <w:rsid w:val="00837668"/>
    <w:rsid w:val="00837C05"/>
    <w:rsid w:val="008403B9"/>
    <w:rsid w:val="008409E8"/>
    <w:rsid w:val="00840FE6"/>
    <w:rsid w:val="008428A4"/>
    <w:rsid w:val="00844B79"/>
    <w:rsid w:val="008460F5"/>
    <w:rsid w:val="00846A34"/>
    <w:rsid w:val="0085312C"/>
    <w:rsid w:val="008538D9"/>
    <w:rsid w:val="00853DFE"/>
    <w:rsid w:val="0085502D"/>
    <w:rsid w:val="008567BE"/>
    <w:rsid w:val="008605D6"/>
    <w:rsid w:val="0086078A"/>
    <w:rsid w:val="00863BB1"/>
    <w:rsid w:val="00863F69"/>
    <w:rsid w:val="0086428C"/>
    <w:rsid w:val="00865E5C"/>
    <w:rsid w:val="00866BAA"/>
    <w:rsid w:val="008702A5"/>
    <w:rsid w:val="00870386"/>
    <w:rsid w:val="008712AC"/>
    <w:rsid w:val="00872A4C"/>
    <w:rsid w:val="008749F7"/>
    <w:rsid w:val="00875B2A"/>
    <w:rsid w:val="00876B57"/>
    <w:rsid w:val="00876C04"/>
    <w:rsid w:val="00877755"/>
    <w:rsid w:val="00880795"/>
    <w:rsid w:val="008808F2"/>
    <w:rsid w:val="008819F7"/>
    <w:rsid w:val="008820C2"/>
    <w:rsid w:val="008820F7"/>
    <w:rsid w:val="00883329"/>
    <w:rsid w:val="00884612"/>
    <w:rsid w:val="00884730"/>
    <w:rsid w:val="0088599D"/>
    <w:rsid w:val="00890048"/>
    <w:rsid w:val="00890D20"/>
    <w:rsid w:val="00891315"/>
    <w:rsid w:val="00891D1C"/>
    <w:rsid w:val="00892C92"/>
    <w:rsid w:val="008937C5"/>
    <w:rsid w:val="008A193C"/>
    <w:rsid w:val="008A22FB"/>
    <w:rsid w:val="008A4E71"/>
    <w:rsid w:val="008A63A6"/>
    <w:rsid w:val="008B036C"/>
    <w:rsid w:val="008B18C6"/>
    <w:rsid w:val="008B337A"/>
    <w:rsid w:val="008B4940"/>
    <w:rsid w:val="008B574B"/>
    <w:rsid w:val="008B5830"/>
    <w:rsid w:val="008C05F7"/>
    <w:rsid w:val="008C10CB"/>
    <w:rsid w:val="008C288E"/>
    <w:rsid w:val="008C49CA"/>
    <w:rsid w:val="008C682F"/>
    <w:rsid w:val="008C7FD5"/>
    <w:rsid w:val="008D0A89"/>
    <w:rsid w:val="008D0E8D"/>
    <w:rsid w:val="008D1290"/>
    <w:rsid w:val="008D2FAE"/>
    <w:rsid w:val="008D352C"/>
    <w:rsid w:val="008D48D8"/>
    <w:rsid w:val="008D5BA2"/>
    <w:rsid w:val="008E23A2"/>
    <w:rsid w:val="008E2980"/>
    <w:rsid w:val="008E2B22"/>
    <w:rsid w:val="008E5A4C"/>
    <w:rsid w:val="008E60FB"/>
    <w:rsid w:val="008F0013"/>
    <w:rsid w:val="008F0E52"/>
    <w:rsid w:val="008F311E"/>
    <w:rsid w:val="008F6562"/>
    <w:rsid w:val="008F73C9"/>
    <w:rsid w:val="00900B06"/>
    <w:rsid w:val="00900EC3"/>
    <w:rsid w:val="0090251F"/>
    <w:rsid w:val="00902E4B"/>
    <w:rsid w:val="00902FAD"/>
    <w:rsid w:val="009051FE"/>
    <w:rsid w:val="00906D1E"/>
    <w:rsid w:val="009073D2"/>
    <w:rsid w:val="00912A2B"/>
    <w:rsid w:val="0091380B"/>
    <w:rsid w:val="009157D7"/>
    <w:rsid w:val="00915B15"/>
    <w:rsid w:val="00915F26"/>
    <w:rsid w:val="00916A5D"/>
    <w:rsid w:val="0092341A"/>
    <w:rsid w:val="00925E19"/>
    <w:rsid w:val="00926BCF"/>
    <w:rsid w:val="00931326"/>
    <w:rsid w:val="009313E8"/>
    <w:rsid w:val="0093176D"/>
    <w:rsid w:val="00931B59"/>
    <w:rsid w:val="00931F24"/>
    <w:rsid w:val="009334FA"/>
    <w:rsid w:val="009337C9"/>
    <w:rsid w:val="0093448D"/>
    <w:rsid w:val="00935740"/>
    <w:rsid w:val="00935D4F"/>
    <w:rsid w:val="00935F51"/>
    <w:rsid w:val="009405B5"/>
    <w:rsid w:val="009466C6"/>
    <w:rsid w:val="009471BF"/>
    <w:rsid w:val="0094793A"/>
    <w:rsid w:val="00947A7C"/>
    <w:rsid w:val="00950B3E"/>
    <w:rsid w:val="00950F70"/>
    <w:rsid w:val="00951196"/>
    <w:rsid w:val="00954B90"/>
    <w:rsid w:val="00954BC5"/>
    <w:rsid w:val="0096211E"/>
    <w:rsid w:val="00963872"/>
    <w:rsid w:val="0096569D"/>
    <w:rsid w:val="00966451"/>
    <w:rsid w:val="00967125"/>
    <w:rsid w:val="00973589"/>
    <w:rsid w:val="009748FB"/>
    <w:rsid w:val="00974D6B"/>
    <w:rsid w:val="009756D1"/>
    <w:rsid w:val="0097694A"/>
    <w:rsid w:val="00976CF3"/>
    <w:rsid w:val="009771EF"/>
    <w:rsid w:val="009776E9"/>
    <w:rsid w:val="00982456"/>
    <w:rsid w:val="00984912"/>
    <w:rsid w:val="0099013B"/>
    <w:rsid w:val="0099061A"/>
    <w:rsid w:val="009906EF"/>
    <w:rsid w:val="009933F9"/>
    <w:rsid w:val="0099463C"/>
    <w:rsid w:val="00997EF1"/>
    <w:rsid w:val="009A09DF"/>
    <w:rsid w:val="009A1E60"/>
    <w:rsid w:val="009A46B0"/>
    <w:rsid w:val="009A6A9F"/>
    <w:rsid w:val="009B1193"/>
    <w:rsid w:val="009B365D"/>
    <w:rsid w:val="009B3B5E"/>
    <w:rsid w:val="009B5F2F"/>
    <w:rsid w:val="009B5F3F"/>
    <w:rsid w:val="009B61F7"/>
    <w:rsid w:val="009C1BB2"/>
    <w:rsid w:val="009C2570"/>
    <w:rsid w:val="009C2F5B"/>
    <w:rsid w:val="009C32F7"/>
    <w:rsid w:val="009C406B"/>
    <w:rsid w:val="009C454E"/>
    <w:rsid w:val="009C5D00"/>
    <w:rsid w:val="009C6AA3"/>
    <w:rsid w:val="009D2BEE"/>
    <w:rsid w:val="009D30E5"/>
    <w:rsid w:val="009D5E00"/>
    <w:rsid w:val="009D5F27"/>
    <w:rsid w:val="009D69C6"/>
    <w:rsid w:val="009D7691"/>
    <w:rsid w:val="009D7F4F"/>
    <w:rsid w:val="009E0125"/>
    <w:rsid w:val="009E1729"/>
    <w:rsid w:val="009E2B5D"/>
    <w:rsid w:val="009E2EE6"/>
    <w:rsid w:val="009E3D27"/>
    <w:rsid w:val="009E4A7B"/>
    <w:rsid w:val="009E62C9"/>
    <w:rsid w:val="009E7A0B"/>
    <w:rsid w:val="009F097E"/>
    <w:rsid w:val="009F0F07"/>
    <w:rsid w:val="009F2831"/>
    <w:rsid w:val="009F6368"/>
    <w:rsid w:val="009F64CD"/>
    <w:rsid w:val="009F76EF"/>
    <w:rsid w:val="00A00A0F"/>
    <w:rsid w:val="00A00BE7"/>
    <w:rsid w:val="00A020C5"/>
    <w:rsid w:val="00A039F7"/>
    <w:rsid w:val="00A03A9F"/>
    <w:rsid w:val="00A04AEC"/>
    <w:rsid w:val="00A0559C"/>
    <w:rsid w:val="00A05EF5"/>
    <w:rsid w:val="00A076E3"/>
    <w:rsid w:val="00A104E5"/>
    <w:rsid w:val="00A1344C"/>
    <w:rsid w:val="00A14352"/>
    <w:rsid w:val="00A1673E"/>
    <w:rsid w:val="00A175B2"/>
    <w:rsid w:val="00A175B6"/>
    <w:rsid w:val="00A2366B"/>
    <w:rsid w:val="00A24291"/>
    <w:rsid w:val="00A24721"/>
    <w:rsid w:val="00A24C58"/>
    <w:rsid w:val="00A25191"/>
    <w:rsid w:val="00A3180E"/>
    <w:rsid w:val="00A32924"/>
    <w:rsid w:val="00A3573E"/>
    <w:rsid w:val="00A3653B"/>
    <w:rsid w:val="00A37721"/>
    <w:rsid w:val="00A42420"/>
    <w:rsid w:val="00A447AD"/>
    <w:rsid w:val="00A45309"/>
    <w:rsid w:val="00A45734"/>
    <w:rsid w:val="00A461BA"/>
    <w:rsid w:val="00A50AFF"/>
    <w:rsid w:val="00A52D2E"/>
    <w:rsid w:val="00A52F7E"/>
    <w:rsid w:val="00A52F8C"/>
    <w:rsid w:val="00A546B4"/>
    <w:rsid w:val="00A550A3"/>
    <w:rsid w:val="00A5625A"/>
    <w:rsid w:val="00A5646F"/>
    <w:rsid w:val="00A565ED"/>
    <w:rsid w:val="00A571D5"/>
    <w:rsid w:val="00A60AD5"/>
    <w:rsid w:val="00A615C0"/>
    <w:rsid w:val="00A644A1"/>
    <w:rsid w:val="00A66719"/>
    <w:rsid w:val="00A67139"/>
    <w:rsid w:val="00A71314"/>
    <w:rsid w:val="00A770DC"/>
    <w:rsid w:val="00A80DE5"/>
    <w:rsid w:val="00A817BB"/>
    <w:rsid w:val="00A83FFE"/>
    <w:rsid w:val="00A84B62"/>
    <w:rsid w:val="00A872FD"/>
    <w:rsid w:val="00A910C4"/>
    <w:rsid w:val="00A91697"/>
    <w:rsid w:val="00A95483"/>
    <w:rsid w:val="00A95D4E"/>
    <w:rsid w:val="00AA2BF5"/>
    <w:rsid w:val="00AA3C67"/>
    <w:rsid w:val="00AA5639"/>
    <w:rsid w:val="00AA5B9F"/>
    <w:rsid w:val="00AA5CD3"/>
    <w:rsid w:val="00AA6CDD"/>
    <w:rsid w:val="00AA6E1F"/>
    <w:rsid w:val="00AB0A51"/>
    <w:rsid w:val="00AB5031"/>
    <w:rsid w:val="00AB670E"/>
    <w:rsid w:val="00AB753D"/>
    <w:rsid w:val="00AB798A"/>
    <w:rsid w:val="00AC1ECF"/>
    <w:rsid w:val="00AC3FE3"/>
    <w:rsid w:val="00AC6F08"/>
    <w:rsid w:val="00AD1081"/>
    <w:rsid w:val="00AD148C"/>
    <w:rsid w:val="00AD2EDE"/>
    <w:rsid w:val="00AD51F3"/>
    <w:rsid w:val="00AD7C5D"/>
    <w:rsid w:val="00AE42BA"/>
    <w:rsid w:val="00AE4421"/>
    <w:rsid w:val="00AE63F6"/>
    <w:rsid w:val="00AF0AA4"/>
    <w:rsid w:val="00AF152E"/>
    <w:rsid w:val="00AF1FF2"/>
    <w:rsid w:val="00AF4771"/>
    <w:rsid w:val="00AF6409"/>
    <w:rsid w:val="00AF78B2"/>
    <w:rsid w:val="00B005E7"/>
    <w:rsid w:val="00B026CA"/>
    <w:rsid w:val="00B038D1"/>
    <w:rsid w:val="00B03CC9"/>
    <w:rsid w:val="00B04589"/>
    <w:rsid w:val="00B04A1C"/>
    <w:rsid w:val="00B056BA"/>
    <w:rsid w:val="00B06215"/>
    <w:rsid w:val="00B06C75"/>
    <w:rsid w:val="00B07946"/>
    <w:rsid w:val="00B13BB2"/>
    <w:rsid w:val="00B13E90"/>
    <w:rsid w:val="00B13F09"/>
    <w:rsid w:val="00B140C9"/>
    <w:rsid w:val="00B14DD0"/>
    <w:rsid w:val="00B14F2F"/>
    <w:rsid w:val="00B15537"/>
    <w:rsid w:val="00B21BCF"/>
    <w:rsid w:val="00B23D4E"/>
    <w:rsid w:val="00B25F50"/>
    <w:rsid w:val="00B272C2"/>
    <w:rsid w:val="00B27B9B"/>
    <w:rsid w:val="00B36E83"/>
    <w:rsid w:val="00B403ED"/>
    <w:rsid w:val="00B406D3"/>
    <w:rsid w:val="00B4092C"/>
    <w:rsid w:val="00B4372C"/>
    <w:rsid w:val="00B4641A"/>
    <w:rsid w:val="00B4664F"/>
    <w:rsid w:val="00B472CB"/>
    <w:rsid w:val="00B502CD"/>
    <w:rsid w:val="00B52A69"/>
    <w:rsid w:val="00B5504D"/>
    <w:rsid w:val="00B55517"/>
    <w:rsid w:val="00B60E90"/>
    <w:rsid w:val="00B6160E"/>
    <w:rsid w:val="00B62E52"/>
    <w:rsid w:val="00B62EBD"/>
    <w:rsid w:val="00B63CA5"/>
    <w:rsid w:val="00B63DBF"/>
    <w:rsid w:val="00B6621A"/>
    <w:rsid w:val="00B6627F"/>
    <w:rsid w:val="00B6685F"/>
    <w:rsid w:val="00B70ACF"/>
    <w:rsid w:val="00B70C29"/>
    <w:rsid w:val="00B71662"/>
    <w:rsid w:val="00B7231E"/>
    <w:rsid w:val="00B775FD"/>
    <w:rsid w:val="00B77FB2"/>
    <w:rsid w:val="00B8145E"/>
    <w:rsid w:val="00B82553"/>
    <w:rsid w:val="00B827F6"/>
    <w:rsid w:val="00B84625"/>
    <w:rsid w:val="00B84F49"/>
    <w:rsid w:val="00B9124C"/>
    <w:rsid w:val="00B93D53"/>
    <w:rsid w:val="00B9403D"/>
    <w:rsid w:val="00B95574"/>
    <w:rsid w:val="00B96A87"/>
    <w:rsid w:val="00BA1FFE"/>
    <w:rsid w:val="00BA3A08"/>
    <w:rsid w:val="00BA4A70"/>
    <w:rsid w:val="00BA4CA8"/>
    <w:rsid w:val="00BA5D5F"/>
    <w:rsid w:val="00BB0392"/>
    <w:rsid w:val="00BB23ED"/>
    <w:rsid w:val="00BB32FB"/>
    <w:rsid w:val="00BB3C70"/>
    <w:rsid w:val="00BB5D7E"/>
    <w:rsid w:val="00BB6F0C"/>
    <w:rsid w:val="00BC12D6"/>
    <w:rsid w:val="00BC1FD2"/>
    <w:rsid w:val="00BC270B"/>
    <w:rsid w:val="00BC406D"/>
    <w:rsid w:val="00BC4AC4"/>
    <w:rsid w:val="00BC5776"/>
    <w:rsid w:val="00BC5B1E"/>
    <w:rsid w:val="00BD0140"/>
    <w:rsid w:val="00BD0445"/>
    <w:rsid w:val="00BD3DE0"/>
    <w:rsid w:val="00BD6958"/>
    <w:rsid w:val="00BD739F"/>
    <w:rsid w:val="00BE025A"/>
    <w:rsid w:val="00BE4F35"/>
    <w:rsid w:val="00BE70BC"/>
    <w:rsid w:val="00BF13E7"/>
    <w:rsid w:val="00BF1B5F"/>
    <w:rsid w:val="00BF40BE"/>
    <w:rsid w:val="00BF4B2F"/>
    <w:rsid w:val="00BF60A0"/>
    <w:rsid w:val="00C015AE"/>
    <w:rsid w:val="00C0213E"/>
    <w:rsid w:val="00C05BC7"/>
    <w:rsid w:val="00C06255"/>
    <w:rsid w:val="00C07060"/>
    <w:rsid w:val="00C10F47"/>
    <w:rsid w:val="00C114F6"/>
    <w:rsid w:val="00C11986"/>
    <w:rsid w:val="00C12463"/>
    <w:rsid w:val="00C12493"/>
    <w:rsid w:val="00C15FD2"/>
    <w:rsid w:val="00C1669D"/>
    <w:rsid w:val="00C17052"/>
    <w:rsid w:val="00C17503"/>
    <w:rsid w:val="00C277CF"/>
    <w:rsid w:val="00C278B7"/>
    <w:rsid w:val="00C32355"/>
    <w:rsid w:val="00C3311C"/>
    <w:rsid w:val="00C37CB1"/>
    <w:rsid w:val="00C40886"/>
    <w:rsid w:val="00C425C5"/>
    <w:rsid w:val="00C43DEC"/>
    <w:rsid w:val="00C45807"/>
    <w:rsid w:val="00C45E68"/>
    <w:rsid w:val="00C467E9"/>
    <w:rsid w:val="00C47E59"/>
    <w:rsid w:val="00C5379A"/>
    <w:rsid w:val="00C553E8"/>
    <w:rsid w:val="00C568ED"/>
    <w:rsid w:val="00C616C7"/>
    <w:rsid w:val="00C63371"/>
    <w:rsid w:val="00C63A0D"/>
    <w:rsid w:val="00C65166"/>
    <w:rsid w:val="00C6560A"/>
    <w:rsid w:val="00C65707"/>
    <w:rsid w:val="00C661E0"/>
    <w:rsid w:val="00C66849"/>
    <w:rsid w:val="00C70157"/>
    <w:rsid w:val="00C7022C"/>
    <w:rsid w:val="00C7126F"/>
    <w:rsid w:val="00C74AF0"/>
    <w:rsid w:val="00C75705"/>
    <w:rsid w:val="00C76F69"/>
    <w:rsid w:val="00C8126A"/>
    <w:rsid w:val="00C82C39"/>
    <w:rsid w:val="00C84FA2"/>
    <w:rsid w:val="00C8611A"/>
    <w:rsid w:val="00C90965"/>
    <w:rsid w:val="00C915D2"/>
    <w:rsid w:val="00C9248D"/>
    <w:rsid w:val="00C93C58"/>
    <w:rsid w:val="00C93E5F"/>
    <w:rsid w:val="00C96849"/>
    <w:rsid w:val="00C96E44"/>
    <w:rsid w:val="00C974F7"/>
    <w:rsid w:val="00CA0978"/>
    <w:rsid w:val="00CA160D"/>
    <w:rsid w:val="00CA1671"/>
    <w:rsid w:val="00CA17BB"/>
    <w:rsid w:val="00CA1AC9"/>
    <w:rsid w:val="00CA307D"/>
    <w:rsid w:val="00CB52A0"/>
    <w:rsid w:val="00CC018D"/>
    <w:rsid w:val="00CC0669"/>
    <w:rsid w:val="00CC4251"/>
    <w:rsid w:val="00CC763E"/>
    <w:rsid w:val="00CD132A"/>
    <w:rsid w:val="00CD26B9"/>
    <w:rsid w:val="00CD2FEC"/>
    <w:rsid w:val="00CD3149"/>
    <w:rsid w:val="00CD5F5A"/>
    <w:rsid w:val="00CD61CF"/>
    <w:rsid w:val="00CD6248"/>
    <w:rsid w:val="00CD7FA0"/>
    <w:rsid w:val="00CE0327"/>
    <w:rsid w:val="00CE1484"/>
    <w:rsid w:val="00CE1851"/>
    <w:rsid w:val="00CE5BFD"/>
    <w:rsid w:val="00CE65C5"/>
    <w:rsid w:val="00CE6804"/>
    <w:rsid w:val="00CE74F6"/>
    <w:rsid w:val="00CF3CAA"/>
    <w:rsid w:val="00CF5CBD"/>
    <w:rsid w:val="00CF62B8"/>
    <w:rsid w:val="00CF78C1"/>
    <w:rsid w:val="00D00513"/>
    <w:rsid w:val="00D02468"/>
    <w:rsid w:val="00D05986"/>
    <w:rsid w:val="00D07C03"/>
    <w:rsid w:val="00D12467"/>
    <w:rsid w:val="00D1294D"/>
    <w:rsid w:val="00D15D9D"/>
    <w:rsid w:val="00D22609"/>
    <w:rsid w:val="00D24901"/>
    <w:rsid w:val="00D2717B"/>
    <w:rsid w:val="00D31092"/>
    <w:rsid w:val="00D33E61"/>
    <w:rsid w:val="00D35B1A"/>
    <w:rsid w:val="00D36177"/>
    <w:rsid w:val="00D37B4A"/>
    <w:rsid w:val="00D404E1"/>
    <w:rsid w:val="00D43B37"/>
    <w:rsid w:val="00D45C77"/>
    <w:rsid w:val="00D4756C"/>
    <w:rsid w:val="00D502E8"/>
    <w:rsid w:val="00D51DF8"/>
    <w:rsid w:val="00D53973"/>
    <w:rsid w:val="00D557A5"/>
    <w:rsid w:val="00D56004"/>
    <w:rsid w:val="00D569B8"/>
    <w:rsid w:val="00D570C0"/>
    <w:rsid w:val="00D60C8A"/>
    <w:rsid w:val="00D66CDB"/>
    <w:rsid w:val="00D71E6E"/>
    <w:rsid w:val="00D733FB"/>
    <w:rsid w:val="00D73F3C"/>
    <w:rsid w:val="00D80483"/>
    <w:rsid w:val="00D84C41"/>
    <w:rsid w:val="00D84D6F"/>
    <w:rsid w:val="00D84EEB"/>
    <w:rsid w:val="00D85428"/>
    <w:rsid w:val="00D85C0C"/>
    <w:rsid w:val="00D85D38"/>
    <w:rsid w:val="00D872ED"/>
    <w:rsid w:val="00D902ED"/>
    <w:rsid w:val="00D90D25"/>
    <w:rsid w:val="00D90D5A"/>
    <w:rsid w:val="00D9126C"/>
    <w:rsid w:val="00D92C28"/>
    <w:rsid w:val="00D93C53"/>
    <w:rsid w:val="00D95086"/>
    <w:rsid w:val="00D95C29"/>
    <w:rsid w:val="00DA0869"/>
    <w:rsid w:val="00DB179F"/>
    <w:rsid w:val="00DB1AB4"/>
    <w:rsid w:val="00DB46A4"/>
    <w:rsid w:val="00DB5542"/>
    <w:rsid w:val="00DC171A"/>
    <w:rsid w:val="00DC1FC9"/>
    <w:rsid w:val="00DC23A0"/>
    <w:rsid w:val="00DC2F2C"/>
    <w:rsid w:val="00DC5215"/>
    <w:rsid w:val="00DC6863"/>
    <w:rsid w:val="00DC7774"/>
    <w:rsid w:val="00DD069F"/>
    <w:rsid w:val="00DD15A4"/>
    <w:rsid w:val="00DD2EAC"/>
    <w:rsid w:val="00DD2F80"/>
    <w:rsid w:val="00DD4EFF"/>
    <w:rsid w:val="00DE152C"/>
    <w:rsid w:val="00DE3CE5"/>
    <w:rsid w:val="00DE4448"/>
    <w:rsid w:val="00DE59D5"/>
    <w:rsid w:val="00DE5A74"/>
    <w:rsid w:val="00DE648E"/>
    <w:rsid w:val="00DE74B4"/>
    <w:rsid w:val="00DF0E1A"/>
    <w:rsid w:val="00DF1FC1"/>
    <w:rsid w:val="00DF229D"/>
    <w:rsid w:val="00DF247E"/>
    <w:rsid w:val="00DF2737"/>
    <w:rsid w:val="00DF3914"/>
    <w:rsid w:val="00E01024"/>
    <w:rsid w:val="00E019BD"/>
    <w:rsid w:val="00E01C76"/>
    <w:rsid w:val="00E01EE7"/>
    <w:rsid w:val="00E05FB7"/>
    <w:rsid w:val="00E07E80"/>
    <w:rsid w:val="00E106FE"/>
    <w:rsid w:val="00E11DE8"/>
    <w:rsid w:val="00E134DB"/>
    <w:rsid w:val="00E137A4"/>
    <w:rsid w:val="00E13997"/>
    <w:rsid w:val="00E13D9B"/>
    <w:rsid w:val="00E14B58"/>
    <w:rsid w:val="00E14E3A"/>
    <w:rsid w:val="00E1578C"/>
    <w:rsid w:val="00E17631"/>
    <w:rsid w:val="00E17640"/>
    <w:rsid w:val="00E20509"/>
    <w:rsid w:val="00E208CC"/>
    <w:rsid w:val="00E20E12"/>
    <w:rsid w:val="00E228D8"/>
    <w:rsid w:val="00E25517"/>
    <w:rsid w:val="00E30EA4"/>
    <w:rsid w:val="00E32EF8"/>
    <w:rsid w:val="00E33ADC"/>
    <w:rsid w:val="00E35D2E"/>
    <w:rsid w:val="00E375BA"/>
    <w:rsid w:val="00E4182E"/>
    <w:rsid w:val="00E41BC6"/>
    <w:rsid w:val="00E44721"/>
    <w:rsid w:val="00E44D93"/>
    <w:rsid w:val="00E451A3"/>
    <w:rsid w:val="00E46AEE"/>
    <w:rsid w:val="00E50161"/>
    <w:rsid w:val="00E562C9"/>
    <w:rsid w:val="00E57013"/>
    <w:rsid w:val="00E5738C"/>
    <w:rsid w:val="00E60667"/>
    <w:rsid w:val="00E60737"/>
    <w:rsid w:val="00E609B0"/>
    <w:rsid w:val="00E60D6E"/>
    <w:rsid w:val="00E61454"/>
    <w:rsid w:val="00E625B5"/>
    <w:rsid w:val="00E626D4"/>
    <w:rsid w:val="00E62AF5"/>
    <w:rsid w:val="00E64512"/>
    <w:rsid w:val="00E71C51"/>
    <w:rsid w:val="00E7712E"/>
    <w:rsid w:val="00E77251"/>
    <w:rsid w:val="00E8118A"/>
    <w:rsid w:val="00E824FC"/>
    <w:rsid w:val="00E830F2"/>
    <w:rsid w:val="00E836C4"/>
    <w:rsid w:val="00E858DA"/>
    <w:rsid w:val="00E87534"/>
    <w:rsid w:val="00E9081F"/>
    <w:rsid w:val="00E92D14"/>
    <w:rsid w:val="00E93B44"/>
    <w:rsid w:val="00E95995"/>
    <w:rsid w:val="00E965F5"/>
    <w:rsid w:val="00E979E7"/>
    <w:rsid w:val="00EA146D"/>
    <w:rsid w:val="00EA15BA"/>
    <w:rsid w:val="00EA6917"/>
    <w:rsid w:val="00EA7EE6"/>
    <w:rsid w:val="00EB1C8F"/>
    <w:rsid w:val="00EB1D09"/>
    <w:rsid w:val="00EB34B5"/>
    <w:rsid w:val="00EB5F35"/>
    <w:rsid w:val="00EB630B"/>
    <w:rsid w:val="00EB6782"/>
    <w:rsid w:val="00EB73F7"/>
    <w:rsid w:val="00EB75DB"/>
    <w:rsid w:val="00EC0E62"/>
    <w:rsid w:val="00EC2434"/>
    <w:rsid w:val="00EC251A"/>
    <w:rsid w:val="00EC3D7F"/>
    <w:rsid w:val="00EC4166"/>
    <w:rsid w:val="00EC4580"/>
    <w:rsid w:val="00EC5B2D"/>
    <w:rsid w:val="00EC7432"/>
    <w:rsid w:val="00ED192D"/>
    <w:rsid w:val="00ED313B"/>
    <w:rsid w:val="00ED3394"/>
    <w:rsid w:val="00ED5023"/>
    <w:rsid w:val="00ED690C"/>
    <w:rsid w:val="00ED6A26"/>
    <w:rsid w:val="00ED6C52"/>
    <w:rsid w:val="00ED7FDF"/>
    <w:rsid w:val="00EE01C1"/>
    <w:rsid w:val="00EE34E3"/>
    <w:rsid w:val="00EE37D1"/>
    <w:rsid w:val="00EE6ACB"/>
    <w:rsid w:val="00EF14D3"/>
    <w:rsid w:val="00EF2102"/>
    <w:rsid w:val="00EF2A7F"/>
    <w:rsid w:val="00EF3A1F"/>
    <w:rsid w:val="00EF3CAD"/>
    <w:rsid w:val="00EF4167"/>
    <w:rsid w:val="00EF4C58"/>
    <w:rsid w:val="00EF54FB"/>
    <w:rsid w:val="00EF5D81"/>
    <w:rsid w:val="00EF61E2"/>
    <w:rsid w:val="00EF6751"/>
    <w:rsid w:val="00EF6F01"/>
    <w:rsid w:val="00EF78A5"/>
    <w:rsid w:val="00F00022"/>
    <w:rsid w:val="00F03559"/>
    <w:rsid w:val="00F05C4E"/>
    <w:rsid w:val="00F11B59"/>
    <w:rsid w:val="00F12318"/>
    <w:rsid w:val="00F133B2"/>
    <w:rsid w:val="00F13E14"/>
    <w:rsid w:val="00F150FD"/>
    <w:rsid w:val="00F15158"/>
    <w:rsid w:val="00F15466"/>
    <w:rsid w:val="00F1652E"/>
    <w:rsid w:val="00F21465"/>
    <w:rsid w:val="00F22C36"/>
    <w:rsid w:val="00F23450"/>
    <w:rsid w:val="00F2564A"/>
    <w:rsid w:val="00F261D7"/>
    <w:rsid w:val="00F27921"/>
    <w:rsid w:val="00F307EA"/>
    <w:rsid w:val="00F30E30"/>
    <w:rsid w:val="00F30FA1"/>
    <w:rsid w:val="00F31147"/>
    <w:rsid w:val="00F31776"/>
    <w:rsid w:val="00F327BE"/>
    <w:rsid w:val="00F35542"/>
    <w:rsid w:val="00F41278"/>
    <w:rsid w:val="00F417DF"/>
    <w:rsid w:val="00F4361A"/>
    <w:rsid w:val="00F442E9"/>
    <w:rsid w:val="00F44369"/>
    <w:rsid w:val="00F444C1"/>
    <w:rsid w:val="00F44E08"/>
    <w:rsid w:val="00F507C8"/>
    <w:rsid w:val="00F52324"/>
    <w:rsid w:val="00F523B5"/>
    <w:rsid w:val="00F52D97"/>
    <w:rsid w:val="00F537CA"/>
    <w:rsid w:val="00F5413E"/>
    <w:rsid w:val="00F550C1"/>
    <w:rsid w:val="00F6109B"/>
    <w:rsid w:val="00F637C9"/>
    <w:rsid w:val="00F643F9"/>
    <w:rsid w:val="00F66FA2"/>
    <w:rsid w:val="00F71F6B"/>
    <w:rsid w:val="00F733B4"/>
    <w:rsid w:val="00F7363B"/>
    <w:rsid w:val="00F77D75"/>
    <w:rsid w:val="00F80735"/>
    <w:rsid w:val="00F83E15"/>
    <w:rsid w:val="00F85720"/>
    <w:rsid w:val="00F90271"/>
    <w:rsid w:val="00F90540"/>
    <w:rsid w:val="00F91C9B"/>
    <w:rsid w:val="00F9310B"/>
    <w:rsid w:val="00F95442"/>
    <w:rsid w:val="00F97A69"/>
    <w:rsid w:val="00FA2419"/>
    <w:rsid w:val="00FA42C8"/>
    <w:rsid w:val="00FA79B1"/>
    <w:rsid w:val="00FB3293"/>
    <w:rsid w:val="00FC2C0F"/>
    <w:rsid w:val="00FC523A"/>
    <w:rsid w:val="00FC57E1"/>
    <w:rsid w:val="00FC668C"/>
    <w:rsid w:val="00FC73BB"/>
    <w:rsid w:val="00FD15E1"/>
    <w:rsid w:val="00FD1825"/>
    <w:rsid w:val="00FD1C85"/>
    <w:rsid w:val="00FD37A9"/>
    <w:rsid w:val="00FD3F42"/>
    <w:rsid w:val="00FD5578"/>
    <w:rsid w:val="00FD77AD"/>
    <w:rsid w:val="00FD782A"/>
    <w:rsid w:val="00FE04B4"/>
    <w:rsid w:val="00FE10D7"/>
    <w:rsid w:val="00FE1119"/>
    <w:rsid w:val="00FE1DE6"/>
    <w:rsid w:val="00FE2A9E"/>
    <w:rsid w:val="00FE2F41"/>
    <w:rsid w:val="00FE44F9"/>
    <w:rsid w:val="00FE49E7"/>
    <w:rsid w:val="00FE5AF0"/>
    <w:rsid w:val="00FE71ED"/>
    <w:rsid w:val="00FF1CCF"/>
    <w:rsid w:val="00FF3349"/>
    <w:rsid w:val="00FF3842"/>
    <w:rsid w:val="00FF537F"/>
    <w:rsid w:val="00FF7658"/>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651A"/>
  <w15:docId w15:val="{C7165011-3F22-4C05-9515-923489F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07"/>
    <w:rPr>
      <w:rFonts w:eastAsia="Calibri" w:cs="Times New Roman"/>
    </w:rPr>
  </w:style>
  <w:style w:type="paragraph" w:styleId="Footer">
    <w:name w:val="footer"/>
    <w:basedOn w:val="Normal"/>
    <w:link w:val="FooterChar"/>
    <w:uiPriority w:val="99"/>
    <w:unhideWhenUsed/>
    <w:rsid w:val="00C4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07"/>
    <w:rPr>
      <w:rFonts w:eastAsia="Calibri" w:cs="Times New Roman"/>
    </w:rPr>
  </w:style>
  <w:style w:type="paragraph" w:styleId="BalloonText">
    <w:name w:val="Balloon Text"/>
    <w:basedOn w:val="Normal"/>
    <w:link w:val="BalloonTextChar"/>
    <w:uiPriority w:val="99"/>
    <w:semiHidden/>
    <w:unhideWhenUsed/>
    <w:rsid w:val="0048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E7"/>
    <w:rPr>
      <w:rFonts w:ascii="Tahoma" w:eastAsia="Calibri" w:hAnsi="Tahoma" w:cs="Tahoma"/>
      <w:sz w:val="16"/>
      <w:szCs w:val="16"/>
    </w:rPr>
  </w:style>
  <w:style w:type="paragraph" w:customStyle="1" w:styleId="xmsonormal">
    <w:name w:val="x_msonormal"/>
    <w:basedOn w:val="Normal"/>
    <w:rsid w:val="0067642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0502A"/>
    <w:pPr>
      <w:ind w:left="720"/>
      <w:contextualSpacing/>
    </w:pPr>
  </w:style>
  <w:style w:type="paragraph" w:styleId="NormalWeb">
    <w:name w:val="Normal (Web)"/>
    <w:basedOn w:val="Normal"/>
    <w:uiPriority w:val="99"/>
    <w:semiHidden/>
    <w:unhideWhenUsed/>
    <w:rsid w:val="004621E3"/>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nhideWhenUsed/>
    <w:rsid w:val="003A3271"/>
    <w:pPr>
      <w:spacing w:after="0" w:line="240" w:lineRule="auto"/>
    </w:pPr>
    <w:rPr>
      <w:sz w:val="20"/>
      <w:szCs w:val="20"/>
    </w:rPr>
  </w:style>
  <w:style w:type="character" w:customStyle="1" w:styleId="FootnoteTextChar">
    <w:name w:val="Footnote Text Char"/>
    <w:basedOn w:val="DefaultParagraphFont"/>
    <w:link w:val="FootnoteText"/>
    <w:rsid w:val="003A3271"/>
    <w:rPr>
      <w:rFonts w:eastAsia="Calibri" w:cs="Times New Roman"/>
      <w:sz w:val="20"/>
      <w:szCs w:val="20"/>
    </w:rPr>
  </w:style>
  <w:style w:type="character" w:styleId="FootnoteReference">
    <w:name w:val="footnote reference"/>
    <w:basedOn w:val="DefaultParagraphFont"/>
    <w:unhideWhenUsed/>
    <w:rsid w:val="003A3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397">
      <w:bodyDiv w:val="1"/>
      <w:marLeft w:val="0"/>
      <w:marRight w:val="0"/>
      <w:marTop w:val="0"/>
      <w:marBottom w:val="0"/>
      <w:divBdr>
        <w:top w:val="none" w:sz="0" w:space="0" w:color="auto"/>
        <w:left w:val="none" w:sz="0" w:space="0" w:color="auto"/>
        <w:bottom w:val="none" w:sz="0" w:space="0" w:color="auto"/>
        <w:right w:val="none" w:sz="0" w:space="0" w:color="auto"/>
      </w:divBdr>
    </w:div>
    <w:div w:id="174459606">
      <w:bodyDiv w:val="1"/>
      <w:marLeft w:val="0"/>
      <w:marRight w:val="0"/>
      <w:marTop w:val="0"/>
      <w:marBottom w:val="0"/>
      <w:divBdr>
        <w:top w:val="none" w:sz="0" w:space="0" w:color="auto"/>
        <w:left w:val="none" w:sz="0" w:space="0" w:color="auto"/>
        <w:bottom w:val="none" w:sz="0" w:space="0" w:color="auto"/>
        <w:right w:val="none" w:sz="0" w:space="0" w:color="auto"/>
      </w:divBdr>
    </w:div>
    <w:div w:id="983122865">
      <w:bodyDiv w:val="1"/>
      <w:marLeft w:val="0"/>
      <w:marRight w:val="0"/>
      <w:marTop w:val="0"/>
      <w:marBottom w:val="0"/>
      <w:divBdr>
        <w:top w:val="none" w:sz="0" w:space="0" w:color="auto"/>
        <w:left w:val="none" w:sz="0" w:space="0" w:color="auto"/>
        <w:bottom w:val="none" w:sz="0" w:space="0" w:color="auto"/>
        <w:right w:val="none" w:sz="0" w:space="0" w:color="auto"/>
      </w:divBdr>
    </w:div>
    <w:div w:id="1412509732">
      <w:bodyDiv w:val="1"/>
      <w:marLeft w:val="0"/>
      <w:marRight w:val="0"/>
      <w:marTop w:val="0"/>
      <w:marBottom w:val="0"/>
      <w:divBdr>
        <w:top w:val="none" w:sz="0" w:space="0" w:color="auto"/>
        <w:left w:val="none" w:sz="0" w:space="0" w:color="auto"/>
        <w:bottom w:val="none" w:sz="0" w:space="0" w:color="auto"/>
        <w:right w:val="none" w:sz="0" w:space="0" w:color="auto"/>
      </w:divBdr>
    </w:div>
    <w:div w:id="21386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DDYPFUVZ5X6F-6-4503</_dlc_DocId>
    <_dlc_DocIdUrl xmlns="ae4e42cd-c673-4541-a17d-d353a4125f5e">
      <Url>https://dbdc.backan.gov.vn/_layouts/15/DocIdRedir.aspx?ID=DDYPFUVZ5X6F-6-4503</Url>
      <Description>DDYPFUVZ5X6F-6-4503</Description>
    </_dlc_DocIdUrl>
  </documentManagement>
</p:properties>
</file>

<file path=customXml/itemProps1.xml><?xml version="1.0" encoding="utf-8"?>
<ds:datastoreItem xmlns:ds="http://schemas.openxmlformats.org/officeDocument/2006/customXml" ds:itemID="{DED3DB87-621B-408B-A533-161CBA4157F0}"/>
</file>

<file path=customXml/itemProps2.xml><?xml version="1.0" encoding="utf-8"?>
<ds:datastoreItem xmlns:ds="http://schemas.openxmlformats.org/officeDocument/2006/customXml" ds:itemID="{643B1B5F-E607-4BAB-BB3B-A0E2E1C1ADB0}"/>
</file>

<file path=customXml/itemProps3.xml><?xml version="1.0" encoding="utf-8"?>
<ds:datastoreItem xmlns:ds="http://schemas.openxmlformats.org/officeDocument/2006/customXml" ds:itemID="{D96C88EB-1A53-40F5-A903-498E97DD38A9}"/>
</file>

<file path=customXml/itemProps4.xml><?xml version="1.0" encoding="utf-8"?>
<ds:datastoreItem xmlns:ds="http://schemas.openxmlformats.org/officeDocument/2006/customXml" ds:itemID="{442D940A-0BC6-4AC4-81B1-77CFCB9299A6}"/>
</file>

<file path=customXml/itemProps5.xml><?xml version="1.0" encoding="utf-8"?>
<ds:datastoreItem xmlns:ds="http://schemas.openxmlformats.org/officeDocument/2006/customXml" ds:itemID="{357B003F-2B62-4039-AFD9-0E90E5DB2718}"/>
</file>

<file path=docProps/app.xml><?xml version="1.0" encoding="utf-8"?>
<Properties xmlns="http://schemas.openxmlformats.org/officeDocument/2006/extended-properties" xmlns:vt="http://schemas.openxmlformats.org/officeDocument/2006/docPropsVTypes">
  <Template>Normal</Template>
  <TotalTime>17</TotalTime>
  <Pages>11</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chuong_pc</dc:creator>
  <cp:lastModifiedBy>Sony Vaio</cp:lastModifiedBy>
  <cp:revision>14</cp:revision>
  <cp:lastPrinted>2022-09-05T03:12:00Z</cp:lastPrinted>
  <dcterms:created xsi:type="dcterms:W3CDTF">2022-09-24T09:40:00Z</dcterms:created>
  <dcterms:modified xsi:type="dcterms:W3CDTF">2022-09-24T14:59:00Z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579a6634-fdbd-4a32-8c13-f7676844dac5</vt:lpwstr>
  </property>
</Properties>
</file>